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82cbe8a63d5258efdbf392e42a65cdf087468ab"/>
    <w:p>
      <w:pPr>
        <w:pStyle w:val="Heading3"/>
      </w:pPr>
      <w:r>
        <w:t xml:space="preserve">В ФНС рассказали о беззаявительном порядке представления физлицам льгот по имущественным налогам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http://krylatskoe.mos.ru/to-help-the-taxpayer-new/detail/11370996.html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rylatskoe.mos.ru" TargetMode="External" /><Relationship Type="http://schemas.openxmlformats.org/officeDocument/2006/relationships/hyperlink" Id="rId31" Target="http://krylatskoe.mos.ru/to-help-the-taxpayer-new/detail/11370996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rylatskoe.mos.ru" TargetMode="External" /><Relationship Type="http://schemas.openxmlformats.org/officeDocument/2006/relationships/hyperlink" Id="rId31" Target="http://krylatskoe.mos.ru/to-help-the-taxpayer-new/detail/11370996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2025-08-06T16:47:20Z</dcterms:created>
  <dcterms:modified xsi:type="dcterms:W3CDTF">2025-08-06T16:47:20Z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