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1bdc29b0c3607f7c904763d0588eaa993a0"/>
    <w:p>
      <w:pPr>
        <w:pStyle w:val="Heading3"/>
      </w:pPr>
      <w:r>
        <w:t xml:space="preserve">О введении с 1 января 2023 бездекларационного порядка администрирования налога на имущество организаций от кадастровой стоимости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- 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льготы.</w:t>
      </w:r>
    </w:p>
    <w:p>
      <w:pPr>
        <w:pStyle w:val="BodyText"/>
      </w:pPr>
      <w:r>
        <w:t xml:space="preserve">- 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http://krylatskoe.mos.ru/to-help-the-taxpayer-new/detail/11370454.html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370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370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2024-11-27T11:47:28Z</dcterms:created>
  <dcterms:modified xsi:type="dcterms:W3CDTF">2024-11-27T11:47:28Z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