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cfda787da892875b3254a1a676f678a467fd7"/>
    <w:p>
      <w:pPr>
        <w:pStyle w:val="Heading3"/>
      </w:pPr>
      <w:r>
        <w:t xml:space="preserve">Что делать, если налоговое уведомление не получено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t xml:space="preserve"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</w:t>
      </w:r>
      <w:r>
        <w:t xml:space="preserve"> </w:t>
      </w:r>
      <w:hyperlink r:id="rId20">
        <w:r>
          <w:rPr>
            <w:rStyle w:val="Hyperlink"/>
          </w:rPr>
          <w:t xml:space="preserve">обязаны сообщать о наличии у них данных объектов в любой налоговый орган</w:t>
        </w:r>
      </w:hyperlink>
      <w:r>
        <w:t xml:space="preserve"> </w:t>
      </w:r>
      <w:r>
        <w:t xml:space="preserve">(форма сообщения утверждена приказом ФНС России от 26.11.2014 № ММВ-7-11/598@).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http://krylatskoe.mos.ru/to-help-the-taxpayer-new/detail/11182605.html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1182605.html" TargetMode="External" /><Relationship Type="http://schemas.openxmlformats.org/officeDocument/2006/relationships/hyperlink" Id="rId20" Target="https://www.nalog.ru/rn77/fl/interest/imuch_m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1182605.html" TargetMode="External" /><Relationship Type="http://schemas.openxmlformats.org/officeDocument/2006/relationships/hyperlink" Id="rId20" Target="https://www.nalog.ru/rn77/fl/interest/imuch_m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2023-07-26T11:11:19Z</dcterms:created>
  <dcterms:modified xsi:type="dcterms:W3CDTF">2023-07-26T11:11:19Z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