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5203cc236245f1289f924707d89282a65de5"/>
    <w:p>
      <w:pPr>
        <w:pStyle w:val="Heading3"/>
      </w:pPr>
      <w:r>
        <w:t xml:space="preserve">О предоставлении налоговой льготы по транспортному налогу и (или) земельному налогу налогоплательщикам-организациям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Организациям, которые имеют право на льготы по транспортному или земельному налогу организаций, необходимо направить в налоговый орган заявление налогоплательщика-организации о предоставлении налоговой льготы по транспортному налогу и (или) земельному налогу (КНД 1150064).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2021 года организации целесообразно представить в течение I квартала 2022 года.</w:t>
      </w:r>
    </w:p>
    <w:p>
      <w:pPr>
        <w:pStyle w:val="BodyText"/>
      </w:pPr>
      <w:r>
        <w:t xml:space="preserve">Сообщение об исчисленных суммах транспортного и(или) земельного налога (далее – Сообщение)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http://krylatskoe.mos.ru/to-help-the-taxpayer-new/detail/10595366.html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595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595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2024-01-29T07:37:09Z</dcterms:created>
  <dcterms:modified xsi:type="dcterms:W3CDTF">2024-01-29T07:37:09Z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