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999a7c380be017428c36f426a99ee0d1c3924e"/>
    <w:p>
      <w:pPr>
        <w:pStyle w:val="Heading3"/>
      </w:pPr>
      <w:r>
        <w:t xml:space="preserve">Правительство РФ уточнило условия предоставление субсидии МСП и СОНКО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t xml:space="preserve">Постановлением Правительства РФ</w:t>
      </w:r>
      <w:r>
        <w:t xml:space="preserve"> </w:t>
      </w:r>
      <w:hyperlink r:id="rId20">
        <w:r>
          <w:rPr>
            <w:rStyle w:val="Hyperlink"/>
          </w:rPr>
          <w:t xml:space="preserve">от 28.10.2021 № 1849</w:t>
        </w:r>
      </w:hyperlink>
      <w:r>
        <w:t xml:space="preserve"> </w:t>
      </w:r>
      <w:r>
        <w:t xml:space="preserve">внесены изменения в Постановление Правительства РФ</w:t>
      </w:r>
      <w:r>
        <w:t xml:space="preserve"> </w:t>
      </w:r>
      <w:hyperlink r:id="rId21">
        <w:r>
          <w:rPr>
            <w:rStyle w:val="Hyperlink"/>
          </w:rPr>
          <w:t xml:space="preserve">от 07.09.2021 № 1513</w:t>
        </w:r>
      </w:hyperlink>
      <w:r>
        <w:t xml:space="preserve"> </w:t>
      </w:r>
      <w:r>
        <w:t xml:space="preserve">«Об утверждении Правил предоставления в 2021 году из федерального бюджета субсидий субъектам малого и среднего предпринимательства и социально ориентированным некоммерческим организациям, ведущим деятельность в муниципальных образованиях, в наибольшей степени пострадавших в условиях ухудшения ситуации в результате распространения новой коронавирусной инфекции» (далее Постановление № 1513).</w:t>
      </w:r>
    </w:p>
    <w:p>
      <w:pPr>
        <w:pStyle w:val="BodyText"/>
      </w:pPr>
      <w:r>
        <w:t xml:space="preserve">Постановление № 1513 дополнено условиями предоставления субсидии на нерабочие дни для субъектов МСП и СОНКО, занятых в пострадавших от COVID-19 отраслях.</w:t>
      </w:r>
    </w:p>
    <w:p>
      <w:pPr>
        <w:pStyle w:val="BodyText"/>
      </w:pPr>
      <w:r>
        <w:t xml:space="preserve">Для получения субсидии на нерабочие дни необходимо соблюдение следующих условий:</w:t>
      </w:r>
    </w:p>
    <w:p>
      <w:pPr>
        <w:pStyle w:val="BodyText"/>
      </w:pPr>
      <w:r>
        <w:t xml:space="preserve">· лицо должно быть включено в</w:t>
      </w:r>
      <w:r>
        <w:t xml:space="preserve"> </w:t>
      </w:r>
      <w:hyperlink r:id="rId22">
        <w:r>
          <w:rPr>
            <w:rStyle w:val="Hyperlink"/>
          </w:rPr>
          <w:t xml:space="preserve">единый реестр субъектов малого и среднего предпринимательства</w:t>
        </w:r>
      </w:hyperlink>
      <w:r>
        <w:t xml:space="preserve"> </w:t>
      </w:r>
      <w:r>
        <w:t xml:space="preserve">(МСП) по состоянию на 10 июля 2021 года, либо является социально – ориентированной некоммерческой организацией и включено в реестр СОНКО;</w:t>
      </w:r>
    </w:p>
    <w:p>
      <w:pPr>
        <w:pStyle w:val="BodyText"/>
      </w:pPr>
      <w:r>
        <w:t xml:space="preserve">· основной вид экономической деятельности получателя субсидии по ОКВЭД, указанный в ЕГРЮЛ (ЕГРИП) по состоянию на 10 июля 2021 года, должен относиться к наиболее пострадавшим отраслям российской экономики согласно перечню, прилагаемому к Постановлению № 1513;</w:t>
      </w:r>
    </w:p>
    <w:p>
      <w:pPr>
        <w:pStyle w:val="BodyText"/>
      </w:pPr>
      <w:r>
        <w:t xml:space="preserve">· лицо не должно находиться в процессе ликвидации, в его отношении не введена процедура банкротства, не принято решение о предстоящем исключении из ЕГРЮЛ, либо не прекращена деятельность физического лица в качестве индивидуального предпринимателя;</w:t>
      </w:r>
      <w:bookmarkStart w:id="23" w:name="X1207a264b4c9f4df21fde20366a046b31aef217"/>
      <w:bookmarkEnd w:id="23"/>
    </w:p>
    <w:p>
      <w:pPr>
        <w:pStyle w:val="BodyText"/>
      </w:pPr>
      <w:r>
        <w:t xml:space="preserve">· по состоянию на 1 июля 2021 года у получателя субсидии отсутствует задолженность по налогам и страховым взносам свыше 3 тыс. рублей с учетом имеющейся переплаты.</w:t>
      </w:r>
    </w:p>
    <w:p>
      <w:pPr>
        <w:pStyle w:val="BodyText"/>
      </w:pPr>
      <w:r>
        <w:t xml:space="preserve">Расчет субсидии производится следующим образом:</w:t>
      </w:r>
    </w:p>
    <w:p>
      <w:pPr>
        <w:pStyle w:val="BodyText"/>
      </w:pPr>
      <w:r>
        <w:t xml:space="preserve">· для юридических лиц и СОНКО: 12 792 рублей (МРОТ) * количество работников в июне 2021 года;</w:t>
      </w:r>
    </w:p>
    <w:p>
      <w:pPr>
        <w:pStyle w:val="BodyText"/>
      </w:pPr>
      <w:r>
        <w:t xml:space="preserve">· для индивидуальных предпринимателей: 12 792 рублей (МРОТ) * количество работников в июне 2021 года (+ ИП);</w:t>
      </w:r>
    </w:p>
    <w:p>
      <w:pPr>
        <w:pStyle w:val="BodyText"/>
      </w:pPr>
      <w:r>
        <w:t xml:space="preserve">· если индивидуальный предприниматель не имеет наемных работников, размер субсидии будет равен 12 792 рублей.</w:t>
      </w:r>
    </w:p>
    <w:p>
      <w:pPr>
        <w:pStyle w:val="BodyText"/>
      </w:pPr>
      <w:r>
        <w:t xml:space="preserve">Данная субсидия предоставляется субъектам МСП и СОНКО однократно.</w:t>
      </w:r>
    </w:p>
    <w:p>
      <w:pPr>
        <w:pStyle w:val="BodyText"/>
      </w:pPr>
      <w:r>
        <w:t xml:space="preserve">Налоговые органы будут принимать заявления с 1 ноября по 15 декабря 2021 года. С помощью специального сервиса</w:t>
      </w:r>
      <w:r>
        <w:t xml:space="preserve"> </w:t>
      </w:r>
      <w:hyperlink r:id="rId24">
        <w:r>
          <w:rPr>
            <w:rStyle w:val="Hyperlink"/>
          </w:rPr>
          <w:t xml:space="preserve">www.nalog.gov.ru</w:t>
        </w:r>
      </w:hyperlink>
      <w:r>
        <w:t xml:space="preserve"> </w:t>
      </w:r>
      <w:r>
        <w:t xml:space="preserve">можно самостоятельно проверить соответствие заявителя установленным критериям для получения субсидии, а также сформировать и направить заявление.</w:t>
      </w:r>
    </w:p>
    <w:p>
      <w:pPr>
        <w:pStyle w:val="BodyText"/>
      </w:pPr>
      <w:r>
        <w:t xml:space="preserve">Заявление может быть подано в электронной форме по телекоммуникационным каналам связи, через личный кабинет налогоплательщика – юридического лица или индивидуального предпринимателя, а также на бумаге по почте.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http://krylatskoe.mos.ru/to-help-the-taxpayer-new/detail/10378560.html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rylatskoe.mos.ru" TargetMode="External" /><Relationship Type="http://schemas.openxmlformats.org/officeDocument/2006/relationships/hyperlink" Id="rId25" Target="http://krylatskoe.mos.ru/to-help-the-taxpayer-new/detail/10378560.html" TargetMode="External" /><Relationship Type="http://schemas.openxmlformats.org/officeDocument/2006/relationships/hyperlink" Id="rId21" Target="http://publication.pravo.gov.ru/Document/View/0001202109150021" TargetMode="External" /><Relationship Type="http://schemas.openxmlformats.org/officeDocument/2006/relationships/hyperlink" Id="rId20" Target="http://publication.pravo.gov.ru/Document/View/0001202110300005" TargetMode="External" /><Relationship Type="http://schemas.openxmlformats.org/officeDocument/2006/relationships/hyperlink" Id="rId24" Target="http://www.nalog.gov.ru/" TargetMode="External" /><Relationship Type="http://schemas.openxmlformats.org/officeDocument/2006/relationships/hyperlink" Id="rId22" Target="https://rmsp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rylatskoe.mos.ru" TargetMode="External" /><Relationship Type="http://schemas.openxmlformats.org/officeDocument/2006/relationships/hyperlink" Id="rId25" Target="http://krylatskoe.mos.ru/to-help-the-taxpayer-new/detail/10378560.html" TargetMode="External" /><Relationship Type="http://schemas.openxmlformats.org/officeDocument/2006/relationships/hyperlink" Id="rId21" Target="http://publication.pravo.gov.ru/Document/View/0001202109150021" TargetMode="External" /><Relationship Type="http://schemas.openxmlformats.org/officeDocument/2006/relationships/hyperlink" Id="rId20" Target="http://publication.pravo.gov.ru/Document/View/0001202110300005" TargetMode="External" /><Relationship Type="http://schemas.openxmlformats.org/officeDocument/2006/relationships/hyperlink" Id="rId24" Target="http://www.nalog.gov.ru/" TargetMode="External" /><Relationship Type="http://schemas.openxmlformats.org/officeDocument/2006/relationships/hyperlink" Id="rId22" Target="https://rmsp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2023-07-28T10:14:15Z</dcterms:created>
  <dcterms:modified xsi:type="dcterms:W3CDTF">2023-07-28T10:14:15Z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