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3e488102c5a8a27ff31452597c4aec54973211"/>
    <w:p>
      <w:pPr>
        <w:pStyle w:val="Heading3"/>
      </w:pPr>
      <w:r>
        <w:t xml:space="preserve">5 марта 2020 года проведено заседание Окружной комиссии по пресечению самовольного строительства на территории Западного административного округа</w:t>
      </w:r>
    </w:p>
    <w:p>
      <w:pPr>
        <w:pStyle w:val="FirstParagraph"/>
      </w:pPr>
      <w:r>
        <w:t xml:space="preserve">06.03.2020</w:t>
      </w:r>
    </w:p>
    <w:p>
      <w:pPr>
        <w:pStyle w:val="BodyText"/>
      </w:pPr>
      <w:r>
        <w:t xml:space="preserve">В соответствии с положениями постановлений Правительства Москвы от 31.05.2011 № 234-ПП «Об организации работы по выявлению и пресечению самовольного строительства на территории города Москвы» и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 в префектуре</w:t>
      </w:r>
      <w:r>
        <w:t xml:space="preserve"> </w:t>
      </w:r>
      <w:r>
        <w:rPr>
          <w:bCs/>
          <w:b/>
        </w:rPr>
        <w:t xml:space="preserve">05.03.2020 проведено заседание Окружной комиссии по пресечению самовольного строительства на территории Западного административного округа.</w:t>
      </w:r>
    </w:p>
    <w:p>
      <w:pPr>
        <w:pStyle w:val="BodyText"/>
      </w:pPr>
      <w:r>
        <w:t xml:space="preserve">На проведенном заседании рассмотрены вопросы о законности использования земельных участков для размещения объектов, не являющихся объектами капитального строительства.</w:t>
      </w:r>
    </w:p>
    <w:p>
      <w:pPr>
        <w:pStyle w:val="BodyText"/>
      </w:pPr>
      <w:r>
        <w:t xml:space="preserve">По итогам рассмотрения установлено, что объекты размещены без документов, являющихся основанием для размещения объектов, не являющихся объектами капитального строительства, и подлежат демонтажу (перемещению) в соответствии с постановлением Правительства Москвы от 02.11.2012 № 614-ПП (перечень земельных участков, на которых размещены объекты, приведен ниже).</w:t>
      </w:r>
    </w:p>
    <w:p>
      <w:pPr>
        <w:pStyle w:val="BodyText"/>
      </w:pPr>
      <w:r>
        <w:t xml:space="preserve">Правообладатели объектов вправе самостоятельно (в добровольном порядке) осуществить мероприятия по демонтажу незаконно размещенных объектов и освобождению незаконно занимаемых земельных участков.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размещенного объекта уполномоченным органом исполнительной власти города Москвы самостоятельно осуществляется демонтаж и (или) перемещение незаконно размещенных объектов на специально организованную для хранения площадку (срок хранения</w:t>
      </w:r>
      <w:r>
        <w:br/>
      </w:r>
      <w:r>
        <w:t xml:space="preserve">- 6 месяцев).</w:t>
      </w:r>
    </w:p>
    <w:p>
      <w:pPr>
        <w:pStyle w:val="BodyText"/>
      </w:pPr>
      <w:r>
        <w:t xml:space="preserve">Правообладатель объекта в целях возврата ему находящегося на хранении объекта (либо его составляющих элементов и имущества, находившегося в демонтированном объекте) обращается с заявлением в префектуру административного округа города Москвы.</w:t>
      </w:r>
    </w:p>
    <w:p>
      <w:pPr>
        <w:pStyle w:val="BodyText"/>
      </w:pPr>
      <w:r>
        <w:t xml:space="preserve">К заявлению прилагаются документы, подтверждающие принадлежность объекта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уведомления о включении сезонного кафе при стационарном предприятии общественного питания в схему размещения нестационарных торговых объектов либо о внесении изменений в схему размещения нестационарных торговых объектов,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Основаниями для отказа в выдаче предмета хранения являются непредставление правообладателем документов, подтверждающих принадлежность объекта правообладателю, и (или) представление документов, содержащих недостоверные сведения.</w:t>
      </w:r>
    </w:p>
    <w:p>
      <w:pPr>
        <w:pStyle w:val="BodyText"/>
      </w:pPr>
      <w:r>
        <w:rPr>
          <w:bCs/>
          <w:b/>
        </w:rPr>
        <w:t xml:space="preserve">Перечень земельных участков, на которых размещены объекты, рассмотренные на заседании Окружной комиссии по пресечению самовольного строительства, и приняты решения об их демонтаже (перемещении)</w:t>
      </w:r>
    </w:p>
    <w:p>
      <w:pPr>
        <w:pStyle w:val="BodyText"/>
      </w:pPr>
      <w:r>
        <w:rPr>
          <w:u w:val="single"/>
          <w:bCs/>
          <w:b/>
        </w:rPr>
        <w:t xml:space="preserve">(протокол от 05.03.2020 № 2):</w:t>
      </w:r>
    </w:p>
    <w:p>
      <w:pPr>
        <w:pStyle w:val="BodyText"/>
      </w:pPr>
      <w:r>
        <w:rPr>
          <w:bCs/>
          <w:b/>
        </w:rPr>
        <w:t xml:space="preserve">1. ул. Центральная, вл. 21Б, стр. 1 (Внуково)</w:t>
      </w:r>
      <w:r>
        <w:t xml:space="preserve"> </w:t>
      </w:r>
      <w:r>
        <w:t xml:space="preserve">хоз.постройки (6 шт), металлический забор</w:t>
      </w:r>
    </w:p>
    <w:p>
      <w:pPr>
        <w:pStyle w:val="BodyText"/>
      </w:pPr>
      <w:r>
        <w:rPr>
          <w:bCs/>
          <w:b/>
        </w:rPr>
        <w:t xml:space="preserve">2. ул. 3-я Рейсовая, вл. 6 (Внуково)</w:t>
      </w:r>
      <w:r>
        <w:t xml:space="preserve"> </w:t>
      </w:r>
      <w:r>
        <w:t xml:space="preserve">хоз.постройка</w:t>
      </w:r>
    </w:p>
    <w:p>
      <w:pPr>
        <w:pStyle w:val="BodyText"/>
      </w:pPr>
      <w:r>
        <w:rPr>
          <w:bCs/>
          <w:b/>
        </w:rPr>
        <w:t xml:space="preserve">3. Кутузовский проспект, вл. 5/3, корп. 2 со стороны ул. 2-я Бородинская (Дорогомилово)</w:t>
      </w:r>
      <w:r>
        <w:t xml:space="preserve"> </w:t>
      </w:r>
      <w:r>
        <w:t xml:space="preserve">металлические гаражи (19 шт), ворота</w:t>
      </w:r>
    </w:p>
    <w:p>
      <w:pPr>
        <w:pStyle w:val="BodyText"/>
      </w:pPr>
      <w:r>
        <w:rPr>
          <w:bCs/>
          <w:b/>
        </w:rPr>
        <w:t xml:space="preserve">4. ул. Маршала Тимошенко, вл. 14 (Кунцево)</w:t>
      </w:r>
      <w:r>
        <w:t xml:space="preserve"> </w:t>
      </w:r>
      <w:r>
        <w:t xml:space="preserve">металлические гаражи (2 шт)</w:t>
      </w:r>
    </w:p>
    <w:p>
      <w:pPr>
        <w:pStyle w:val="BodyText"/>
      </w:pPr>
      <w:r>
        <w:rPr>
          <w:bCs/>
          <w:b/>
        </w:rPr>
        <w:t xml:space="preserve">5. ул. Василия Ботылева, вл. 45 (Кунцево)</w:t>
      </w:r>
      <w:r>
        <w:t xml:space="preserve"> </w:t>
      </w:r>
      <w:r>
        <w:t xml:space="preserve">металлические гаражи (22 шт)</w:t>
      </w:r>
    </w:p>
    <w:p>
      <w:pPr>
        <w:pStyle w:val="BodyText"/>
      </w:pPr>
      <w:r>
        <w:rPr>
          <w:bCs/>
          <w:b/>
        </w:rPr>
        <w:t xml:space="preserve">6. 6-я ул. Лазенки, вл. 9 (Ново-Переделкино)</w:t>
      </w:r>
      <w:r>
        <w:t xml:space="preserve"> </w:t>
      </w:r>
      <w:r>
        <w:t xml:space="preserve">металлические гаражи (2 шт)</w:t>
      </w:r>
    </w:p>
    <w:p>
      <w:pPr>
        <w:pStyle w:val="BodyText"/>
      </w:pPr>
      <w:r>
        <w:rPr>
          <w:bCs/>
          <w:b/>
        </w:rPr>
        <w:t xml:space="preserve">7. Ленинский проспект, вл. 110, корп. 1 (Проспект Вернадского)</w:t>
      </w:r>
      <w:r>
        <w:t xml:space="preserve"> </w:t>
      </w:r>
      <w:r>
        <w:t xml:space="preserve">металлический тент типа «пенал»</w:t>
      </w:r>
    </w:p>
    <w:p>
      <w:pPr>
        <w:pStyle w:val="BodyText"/>
      </w:pPr>
      <w:r>
        <w:rPr>
          <w:bCs/>
          <w:b/>
        </w:rPr>
        <w:t xml:space="preserve">8. Мичуринский проспект, вл. 22, корп. 1 (Раменки)</w:t>
      </w:r>
      <w:r>
        <w:t xml:space="preserve"> </w:t>
      </w:r>
      <w:r>
        <w:t xml:space="preserve">КПП, шлагбаум</w:t>
      </w:r>
    </w:p>
    <w:p>
      <w:pPr>
        <w:pStyle w:val="BodyText"/>
      </w:pPr>
      <w:r>
        <w:rPr>
          <w:bCs/>
          <w:b/>
        </w:rPr>
        <w:t xml:space="preserve">9. ул. Щорса, вл. 5, стр. 1 (Солнцево)</w:t>
      </w:r>
      <w:r>
        <w:t xml:space="preserve"> </w:t>
      </w:r>
      <w:r>
        <w:t xml:space="preserve">ж/б забор</w:t>
      </w:r>
    </w:p>
    <w:p>
      <w:pPr>
        <w:pStyle w:val="BodyText"/>
      </w:pPr>
      <w:r>
        <w:rPr>
          <w:bCs/>
          <w:b/>
        </w:rPr>
        <w:t xml:space="preserve">10. ул. Очаковская, вл. 4 (Солнцево)</w:t>
      </w:r>
      <w:r>
        <w:t xml:space="preserve"> </w:t>
      </w:r>
      <w:r>
        <w:t xml:space="preserve">ж/б забор с металлическими воротами</w:t>
      </w:r>
    </w:p>
    <w:p>
      <w:pPr>
        <w:pStyle w:val="BodyText"/>
      </w:pPr>
      <w:r>
        <w:rPr>
          <w:bCs/>
          <w:b/>
        </w:rPr>
        <w:t xml:space="preserve">11. ул. Производственная, напротив вл. 12, корп. 1 (Солнцево)</w:t>
      </w:r>
      <w:r>
        <w:t xml:space="preserve"> </w:t>
      </w:r>
      <w:r>
        <w:t xml:space="preserve">металлические бытовки (17 шт)</w:t>
      </w:r>
    </w:p>
    <w:p>
      <w:pPr>
        <w:pStyle w:val="BodyText"/>
      </w:pPr>
      <w:r>
        <w:rPr>
          <w:bCs/>
          <w:b/>
        </w:rPr>
        <w:t xml:space="preserve">12. Береговой проезд (Филевский парк)</w:t>
      </w:r>
      <w:r>
        <w:t xml:space="preserve"> </w:t>
      </w:r>
      <w:r>
        <w:t xml:space="preserve">металлические бытовки (2 шт)</w:t>
      </w:r>
    </w:p>
    <w:p>
      <w:pPr>
        <w:pStyle w:val="BodyText"/>
      </w:pPr>
      <w:r>
        <w:rPr>
          <w:bCs/>
          <w:b/>
        </w:rPr>
        <w:t xml:space="preserve">13. Филевский бульвар, напротив вл. 39 (ул. Мясищева) (Филевский парк)</w:t>
      </w:r>
      <w:r>
        <w:t xml:space="preserve"> </w:t>
      </w:r>
      <w:r>
        <w:t xml:space="preserve">нестационарный торговый объект</w:t>
      </w:r>
    </w:p>
    <w:p>
      <w:pPr>
        <w:pStyle w:val="BodyText"/>
      </w:pPr>
      <w:r>
        <w:br/>
      </w:r>
    </w:p>
    <w:p>
      <w:pPr>
        <w:pStyle w:val="BodyText"/>
      </w:pPr>
      <w:r>
        <w:t xml:space="preserve">Адрес страницы:</w:t>
      </w:r>
      <w:r>
        <w:t xml:space="preserve"> </w:t>
      </w:r>
      <w:hyperlink r:id="rId20">
        <w:r>
          <w:rPr>
            <w:rStyle w:val="Hyperlink"/>
          </w:rPr>
          <w:t xml:space="preserve">http://krylatskoe.mos.ru/sector-on-construction-land-property-and-transport/news/detail/8742322.html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sector-on-construction-land-property-and-transport/news/detail/87423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sector-on-construction-land-property-and-transport/news/detail/87423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2023-08-14T18:37:45Z</dcterms:created>
  <dcterms:modified xsi:type="dcterms:W3CDTF">2023-08-14T18:37:45Z</dcterms:modified>
</cp:coreProperties>
</file>

<file path=docProps/custom.xml><?xml version="1.0" encoding="utf-8"?>
<Properties xmlns="http://schemas.openxmlformats.org/officeDocument/2006/custom-properties" xmlns:vt="http://schemas.openxmlformats.org/officeDocument/2006/docPropsVTypes"/>
</file>