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тентная-система-налогообложения"/>
    <w:p>
      <w:pPr>
        <w:pStyle w:val="Heading3"/>
      </w:pPr>
      <w:r>
        <w:t xml:space="preserve">Патентная система налогообложения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drawing>
          <wp:inline>
            <wp:extent cx="4048125" cy="4257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Эмблема_ФНС_России_(2014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Патентная система налогообложения устанавливается Налоговым кодексом, вводится в действие законами субъектов Российской Федерации и применяется на территориях указанных субъектов Российской Федерации. Налогоплательщиками признаются индивидуальные предприниматели, перешедшие на патентную систему налогообложения. Переход на патентную систему налогообложения или возврат к иным режимам налогообложения индивидуальными предпринимателями осуществляется добровольно. С 01.01.2021 вступают в силу изменения, предусмотренные Федеральным законом от 23.11.2020 № 373-ФЗ: 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 • Плательщикам ПСН также, как и плательщикам ЕНВД, предоставлено право уменьшать сумму налога, исчисленную за налоговый период, на страховые взносы; </w:t>
      </w:r>
    </w:p>
    <w:p>
      <w:pPr>
        <w:numPr>
          <w:ilvl w:val="0"/>
          <w:numId w:val="1002"/>
        </w:numPr>
        <w:pStyle w:val="Compact"/>
      </w:pPr>
      <w:r>
        <w:t xml:space="preserve"> • Расширен перечень видов деятельности, в отношении которых может применятся ПСН, в том числе теми, которые применялись в рамках ЕНВД: деятельность автостоянок, ремонт, техническое обслуживание и мойка автотранспортных средств;</w:t>
      </w:r>
    </w:p>
    <w:p>
      <w:pPr>
        <w:numPr>
          <w:ilvl w:val="0"/>
          <w:numId w:val="1003"/>
        </w:numPr>
        <w:pStyle w:val="Compact"/>
      </w:pPr>
      <w:r>
        <w:t xml:space="preserve"> • Увеличены ограничения по площади в отношении розничной торговли и оказания услуг общественного питания с 50 до 150 кв. м. </w:t>
      </w:r>
    </w:p>
    <w:p>
      <w:pPr>
        <w:pStyle w:val="FirstParagraph"/>
      </w:pPr>
      <w:r>
        <w:br/>
      </w:r>
      <w:r>
        <w:t xml:space="preserve"> КТО ИМЕЕТ ПРАВО ПРИМЕНЯТЬ ПАТЕНТНУЮ СИСТЕМУ НАЛОГООБЛОЖЕНИЯ </w:t>
      </w:r>
      <w:r>
        <w:br/>
      </w:r>
      <w:r>
        <w:t xml:space="preserve"> Индивидуальные предприниматели, средняя численность наемных работников которых, не превышает за налоговый период, по всем видам предпринимательской деятельности, осуществляемым индивидуальным предпринимателем, 15 человек ( ст. 346.43.НК РФ). </w:t>
      </w:r>
      <w:r>
        <w:br/>
      </w:r>
      <w:r>
        <w:t xml:space="preserve"> Патентная система налогообложения не применяется: </w:t>
      </w:r>
    </w:p>
    <w:p>
      <w:pPr>
        <w:numPr>
          <w:ilvl w:val="0"/>
          <w:numId w:val="1004"/>
        </w:numPr>
        <w:pStyle w:val="Compact"/>
      </w:pPr>
      <w:r>
        <w:t xml:space="preserve"> • в отношении видов предпринимательской деятельности, осуществляемых в рамках договора простого товарищества (договора о совместной деятельности) или договора доверительного управления имуществом (п.6 ст.346.43 НК РФ); </w:t>
      </w:r>
    </w:p>
    <w:p>
      <w:pPr>
        <w:numPr>
          <w:ilvl w:val="0"/>
          <w:numId w:val="1005"/>
        </w:numPr>
        <w:pStyle w:val="Compact"/>
      </w:pPr>
      <w:r>
        <w:t xml:space="preserve"> • в отношении реализации товаров, не относящейся к розничной торговле (реализация подакцизных товаров, указанных в подпунктах 6 - 10 пункта 1 статьи 181 НК РФ, а также реализация подлежащих обязательной маркировке средствами идентификации лекарственных препаратов, обувных товаров и предметов одежды, принадлежностей к одежде и прочих изделий из натурального меха (полный перечень в пп.1 п. 3 ст.346.43 НК РФ).</w:t>
      </w:r>
    </w:p>
    <w:p>
      <w:pPr>
        <w:pStyle w:val="FirstParagraph"/>
      </w:pPr>
      <w:r>
        <w:br/>
      </w:r>
      <w:r>
        <w:t xml:space="preserve"> ЗАМЕНЯЕТ НАЛОГИ </w:t>
      </w:r>
      <w:r>
        <w:br/>
      </w:r>
      <w:r>
        <w:t xml:space="preserve"> Применение патентной системы налогообложения предусматривает освобождение от обязанности по уплате (п. 10, п.11 ст.346.43 НК РФ): </w:t>
      </w:r>
    </w:p>
    <w:p>
      <w:pPr>
        <w:numPr>
          <w:ilvl w:val="0"/>
          <w:numId w:val="1006"/>
        </w:numPr>
        <w:pStyle w:val="Compact"/>
      </w:pPr>
      <w:r>
        <w:t xml:space="preserve"> • Налог на доходы физических лиц В части доходов, полученных при осуществлении видов предпринимательской деятельности, в отношении которых применяется патентная система налогообложения </w:t>
      </w:r>
    </w:p>
    <w:p>
      <w:pPr>
        <w:numPr>
          <w:ilvl w:val="0"/>
          <w:numId w:val="1007"/>
        </w:numPr>
        <w:pStyle w:val="Compact"/>
      </w:pPr>
      <w:r>
        <w:t xml:space="preserve"> • Налог на имущество физических лиц В части имущества, используемого при осуществлении видов предпринимательской деятельности, в отношении которых применяется патентная система налогообложения </w:t>
      </w:r>
    </w:p>
    <w:p>
      <w:pPr>
        <w:numPr>
          <w:ilvl w:val="0"/>
          <w:numId w:val="1008"/>
        </w:numPr>
        <w:pStyle w:val="Compact"/>
      </w:pPr>
      <w:r>
        <w:t xml:space="preserve"> • НДС За исключением НДС, подлежащего уплате: </w:t>
      </w:r>
    </w:p>
    <w:p>
      <w:pPr>
        <w:numPr>
          <w:ilvl w:val="0"/>
          <w:numId w:val="1008"/>
        </w:numPr>
        <w:pStyle w:val="Compact"/>
      </w:pPr>
      <w:r>
        <w:t xml:space="preserve"> • при осуществлении видов предпринимательской деятельности, в отношении которых не применяется патентная система налогообложения</w:t>
      </w:r>
    </w:p>
    <w:p>
      <w:pPr>
        <w:numPr>
          <w:ilvl w:val="0"/>
          <w:numId w:val="1009"/>
        </w:numPr>
        <w:pStyle w:val="Compact"/>
      </w:pPr>
      <w:r>
        <w:t xml:space="preserve"> • при ввозе товаров на территорию Российской Федерации и иные территории, находящиеся под ее юрисдикцией </w:t>
      </w:r>
    </w:p>
    <w:p>
      <w:pPr>
        <w:numPr>
          <w:ilvl w:val="0"/>
          <w:numId w:val="1009"/>
        </w:numPr>
        <w:pStyle w:val="Compact"/>
      </w:pPr>
      <w:r>
        <w:t xml:space="preserve"> • при осуществлении операций, облагаемых в соответствии со статьями 161 и 174.1 НК РФ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http://krylatskoe.mos.ru/presscenter/news/detail/9790315.html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9790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9790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2024-12-03T01:50:51Z</dcterms:created>
  <dcterms:modified xsi:type="dcterms:W3CDTF">2024-12-03T01:50:51Z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