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2e7cc43699dfea0302268431806915fcbc42bd"/>
    <w:p>
      <w:pPr>
        <w:pStyle w:val="Heading3"/>
      </w:pPr>
      <w:r>
        <w:t xml:space="preserve">С 1 сентября налоговые органы смогут прекращать регистрацию ИП в принудительном порядке</w:t>
      </w:r>
    </w:p>
    <w:p>
      <w:pPr>
        <w:pStyle w:val="FirstParagraph"/>
      </w:pPr>
      <w:r>
        <w:t xml:space="preserve">16.02.2021</w:t>
      </w:r>
    </w:p>
    <w:p>
      <w:pPr>
        <w:pStyle w:val="BodyText"/>
      </w:pPr>
      <w:r>
        <w:drawing>
          <wp:inline>
            <wp:extent cx="5334000" cy="34462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register-257986_12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6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 сентября 2020 года налоговые органы смогут принудительно исключить из ЕГРИП индивидуального предпринимателя при соблюдении ряда условий. С этой даты вступают в силу изменения, внесенные</w:t>
      </w:r>
      <w:r>
        <w:t xml:space="preserve"> </w:t>
      </w:r>
      <w:hyperlink r:id="rId23">
        <w:r>
          <w:rPr>
            <w:rStyle w:val="Hyperlink"/>
          </w:rPr>
          <w:t xml:space="preserve">Федеральным законом от 12.11.2019 N 377-ФЗ</w:t>
        </w:r>
      </w:hyperlink>
      <w:r>
        <w:t xml:space="preserve"> </w:t>
      </w:r>
      <w:r>
        <w:t xml:space="preserve">в Закон «О государственной регистрации юридических лиц и индивидуальных предпринимателей».</w:t>
      </w:r>
    </w:p>
    <w:p>
      <w:pPr>
        <w:pStyle w:val="BodyText"/>
      </w:pPr>
      <w:r>
        <w:t xml:space="preserve">Согласно нововведению если индивидуальный предприниматель фактически прекратил свою предпринимательскую деятельность, его будет можно исключить из ЕГРИП в административном порядке по решению налогового органа.</w:t>
      </w:r>
    </w:p>
    <w:p>
      <w:pPr>
        <w:pStyle w:val="BodyText"/>
      </w:pPr>
      <w:r>
        <w:t xml:space="preserve">Индивидуальный предприниматель признается фактически прекратившим свою деятельность, если к моменту принятия регистрирующим органом соответствующего решения одновременно соблюдаются следующие условия (ст. 22.4</w:t>
      </w:r>
      <w:r>
        <w:t xml:space="preserve"> </w:t>
      </w:r>
      <w:hyperlink r:id="rId24">
        <w:r>
          <w:rPr>
            <w:rStyle w:val="Hyperlink"/>
          </w:rPr>
          <w:t xml:space="preserve">Федерального закона от 08.08.2001 N 129-ФЗ (ред. от 31.07.2020) "О государственной регистрации юридических лиц и индивидуальных предпринимателей"</w:t>
        </w:r>
      </w:hyperlink>
      <w:r>
        <w:t xml:space="preserve">:</w:t>
      </w:r>
    </w:p>
    <w:p>
      <w:pPr>
        <w:pStyle w:val="BodyText"/>
      </w:pPr>
      <w:r>
        <w:t xml:space="preserve">- истекло 15 месяцев с даты окончания действия патента, или ИП в течение последних 15 месяцев не представлял в налоговый орган документы отчетности, сведения о расчетах, предусмотренные законодательством РФ о налогах и сборах;</w:t>
      </w:r>
      <w:r>
        <w:br/>
      </w:r>
      <w:r>
        <w:t xml:space="preserve">- ИП имеет недоимку и задолженность в соответствии с законодательством РФ о налогах и сборах.</w:t>
      </w:r>
    </w:p>
    <w:p>
      <w:pPr>
        <w:pStyle w:val="BodyText"/>
      </w:pPr>
      <w:r>
        <w:t xml:space="preserve">Решение о предстоящем исключении из реестра вносится в ЕГРИП. Отследить эту информацию можно через электронный сервис «</w:t>
      </w:r>
      <w:hyperlink r:id="rId25">
        <w:r>
          <w:rPr>
            <w:rStyle w:val="Hyperlink"/>
          </w:rPr>
          <w:t xml:space="preserve">Риски бизнеса</w:t>
        </w:r>
      </w:hyperlink>
      <w:r>
        <w:t xml:space="preserve">»/«</w:t>
      </w:r>
      <w:hyperlink r:id="rId26">
        <w:r>
          <w:rPr>
            <w:rStyle w:val="Hyperlink"/>
          </w:rPr>
          <w:t xml:space="preserve">Прозрачный бизнес</w:t>
        </w:r>
      </w:hyperlink>
      <w:r>
        <w:t xml:space="preserve">»/«</w:t>
      </w:r>
      <w:hyperlink r:id="rId27">
        <w:r>
          <w:rPr>
            <w:rStyle w:val="Hyperlink"/>
          </w:rPr>
          <w:t xml:space="preserve">Сведения, о публикации в журнале «Вестник государственной регистрации</w:t>
        </w:r>
      </w:hyperlink>
      <w:r>
        <w:t xml:space="preserve">».</w:t>
      </w:r>
    </w:p>
    <w:p>
      <w:pPr>
        <w:pStyle w:val="BodyText"/>
      </w:pPr>
      <w:r>
        <w:t xml:space="preserve">Одновременно с решением о предстоящем исключении ИП из реестра должны быть опубликованы сведения о порядке и сроках направления заявлений недействующим предпринимателем, кредиторами или иными лицами, чьи права и законные интересы затрагиваются в связи с исключением недействующего предпринимателя из ЕГРИП. Такие заявления подаются в произвольной форме в течение месяца со дня опубликования решения.</w:t>
      </w:r>
    </w:p>
    <w:p>
      <w:pPr>
        <w:pStyle w:val="BodyText"/>
      </w:pPr>
      <w:r>
        <w:t xml:space="preserve">Если в указанный срок заявления не поступят в налоговый орган, недействующий ИП исключается из реестра путем внесения в него соответствующей записи.</w:t>
      </w:r>
    </w:p>
    <w:p>
      <w:pPr>
        <w:pStyle w:val="BodyText"/>
      </w:pPr>
      <w:r>
        <w:t xml:space="preserve">Исключение ИП из реестра может быть обжаловано кредиторами или иными лицами, чьи права и законные интересы оказались затронутыми, в течение 1 года со дня, когда они узнали или должны были узнать о нарушении своих прав.</w:t>
      </w:r>
    </w:p>
    <w:p>
      <w:pPr>
        <w:pStyle w:val="BodyText"/>
      </w:pPr>
      <w:r>
        <w:t xml:space="preserve">После исключения из ЕГРИП по решению регистрирующего органа физическое лицо согласно новой редакции</w:t>
      </w:r>
      <w:r>
        <w:t xml:space="preserve"> </w:t>
      </w:r>
      <w:hyperlink r:id="rId28">
        <w:r>
          <w:rPr>
            <w:rStyle w:val="Hyperlink"/>
          </w:rPr>
          <w:t xml:space="preserve">п. 4 ст. 22.1 Закона N 129-ФЗ</w:t>
        </w:r>
      </w:hyperlink>
      <w:r>
        <w:t xml:space="preserve"> </w:t>
      </w:r>
      <w:r>
        <w:t xml:space="preserve">не сможет вновь зарегистрироваться в качестве ИП в течение трех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http://krylatskoe.mos.ru/presscenter/news/detail/9718076.html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30" Target="http://krylatskoe.mos.ru" TargetMode="External" /><Relationship Type="http://schemas.openxmlformats.org/officeDocument/2006/relationships/hyperlink" Id="rId29" Target="http://krylatskoe.mos.ru/presscenter/news/detail/9718076.html" TargetMode="External" /><Relationship Type="http://schemas.openxmlformats.org/officeDocument/2006/relationships/hyperlink" Id="rId24" Target="http://www.consultant.ru/document/cons_doc_LAW_32881/" TargetMode="External" /><Relationship Type="http://schemas.openxmlformats.org/officeDocument/2006/relationships/hyperlink" Id="rId28" Target="https://base.garant.ru/12123875/" TargetMode="External" /><Relationship Type="http://schemas.openxmlformats.org/officeDocument/2006/relationships/hyperlink" Id="rId25" Target="https://egrul.nalog.ru/index.html" TargetMode="External" /><Relationship Type="http://schemas.openxmlformats.org/officeDocument/2006/relationships/hyperlink" Id="rId26" Target="https://pb.nalog.ru/?t=1597673249770" TargetMode="External" /><Relationship Type="http://schemas.openxmlformats.org/officeDocument/2006/relationships/hyperlink" Id="rId23" Target="https://www.garant.ru/products/ipo/prime/doc/72890982/" TargetMode="External" /><Relationship Type="http://schemas.openxmlformats.org/officeDocument/2006/relationships/hyperlink" Id="rId27" Target="https://www.vestnik-gosreg.ru/search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rylatskoe.mos.ru" TargetMode="External" /><Relationship Type="http://schemas.openxmlformats.org/officeDocument/2006/relationships/hyperlink" Id="rId29" Target="http://krylatskoe.mos.ru/presscenter/news/detail/9718076.html" TargetMode="External" /><Relationship Type="http://schemas.openxmlformats.org/officeDocument/2006/relationships/hyperlink" Id="rId24" Target="http://www.consultant.ru/document/cons_doc_LAW_32881/" TargetMode="External" /><Relationship Type="http://schemas.openxmlformats.org/officeDocument/2006/relationships/hyperlink" Id="rId28" Target="https://base.garant.ru/12123875/" TargetMode="External" /><Relationship Type="http://schemas.openxmlformats.org/officeDocument/2006/relationships/hyperlink" Id="rId25" Target="https://egrul.nalog.ru/index.html" TargetMode="External" /><Relationship Type="http://schemas.openxmlformats.org/officeDocument/2006/relationships/hyperlink" Id="rId26" Target="https://pb.nalog.ru/?t=1597673249770" TargetMode="External" /><Relationship Type="http://schemas.openxmlformats.org/officeDocument/2006/relationships/hyperlink" Id="rId23" Target="https://www.garant.ru/products/ipo/prime/doc/72890982/" TargetMode="External" /><Relationship Type="http://schemas.openxmlformats.org/officeDocument/2006/relationships/hyperlink" Id="rId27" Target="https://www.vestnik-gosreg.ru/search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2024-07-31T12:22:51Z</dcterms:created>
  <dcterms:modified xsi:type="dcterms:W3CDTF">2024-07-31T12:22:51Z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