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ae483c2adbe7881682be8d5c6c8cc5bfdb266"/>
    <w:p>
      <w:pPr>
        <w:pStyle w:val="Heading3"/>
      </w:pPr>
      <w:r>
        <w:t xml:space="preserve">Приказом Департамента экономической политики и развития города Москвы от 02.10.2020 № 127-ПР «О внесении изменений в приказ от 08.06.2020 № 71-ПР» утверждены в новой редакции форма заявки на предоставление гранта и инструкция по ее заполнению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Кроме того, приказом дополнительно утверждена форма расчета суммы налога на имущество организации и земельного налога, прилагаемого к заявке на предоставление гранта.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http://krylatskoe.mos.ru/presscenter/news/detail/9306594.html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30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930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2024-09-05T04:53:15Z</dcterms:created>
  <dcterms:modified xsi:type="dcterms:W3CDTF">2024-09-05T04:53:15Z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