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е-участников-алкогольного-рынка"/>
    <w:p>
      <w:pPr>
        <w:pStyle w:val="Heading3"/>
      </w:pPr>
      <w:r>
        <w:t xml:space="preserve">Внимание участников алкогольного рынка!</w:t>
      </w:r>
    </w:p>
    <w:p>
      <w:pPr>
        <w:pStyle w:val="FirstParagraph"/>
      </w:pPr>
      <w:r>
        <w:t xml:space="preserve">09.07.2020</w:t>
      </w:r>
    </w:p>
    <w:p>
      <w:pPr>
        <w:pStyle w:val="BodyText"/>
      </w:pPr>
      <w:r>
        <w:rPr>
          <w:bCs/>
          <w:b/>
        </w:rPr>
        <w:t xml:space="preserve">С 1 по 20 июля 2020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2 квартал 2020 года.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процентов, декларации об объеме розничной продажи пива и пивных напитков, сидра, пуаре, медовухи за 2 квартал 2020 года необходимо подать</w:t>
      </w:r>
      <w:r>
        <w:t xml:space="preserve"> </w:t>
      </w:r>
      <w:r>
        <w:rPr>
          <w:bCs/>
          <w:b/>
        </w:rPr>
        <w:t xml:space="preserve">до 20 июля 2020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, зарегистрированные на территории города Москвы представляют декларации об объеме розничной продажи алкогольной продукции и спиртосодержащей непищевой продукции, а также об объеме розничной продажи пива и пивных напитков при наличии оборота пива и пивных напитков.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обязаны представлять декларации об объеме розничной продажи пива и пивных напитков.</w:t>
      </w:r>
    </w:p>
    <w:p>
      <w:pPr>
        <w:pStyle w:val="BodyText"/>
      </w:pPr>
      <w:r>
        <w:t xml:space="preserve">Передача данных в ЕГАИС не освобождает хозяйствующие субъекты от представления деклараций.</w:t>
      </w:r>
    </w:p>
    <w:p>
      <w:pPr>
        <w:pStyle w:val="BodyText"/>
      </w:pPr>
      <w:r>
        <w:t xml:space="preserve">Представление деклараций об объеме розничной продажи алкогольной продукции и спиртосодержащей непищевой продукции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 8).</w:t>
      </w:r>
    </w:p>
    <w:p>
      <w:pPr>
        <w:pStyle w:val="BodyText"/>
      </w:pPr>
      <w: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Росалкогольрегулирования от 05.08.2013 № 198, и порядком заполнения деклараций, утвержденным приказом Росалкогольрегулирования от 23.08.2012 № 231.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http://krylatskoe.mos.ru/presscenter/news/detail/9015184.html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9015184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9015184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2024-11-28T14:12:45Z</dcterms:created>
  <dcterms:modified xsi:type="dcterms:W3CDTF">2024-11-28T14:12:45Z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