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59ff0909b72ab68e2d241ed24593f3454057db"/>
    <w:p>
      <w:pPr>
        <w:pStyle w:val="Heading3"/>
      </w:pPr>
      <w:r>
        <w:t xml:space="preserve">Памятки для пенсионеров и лиц предпенсионного возраста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rPr>
          <w:bCs/>
          <w:b/>
        </w:rPr>
        <w:t xml:space="preserve">КОМУ И КАКИМИ УСЛУГАМИ ПФР МОЖНО ПОЛЬЗОВАТЬСЯ УДАЛЕННО</w:t>
      </w:r>
    </w:p>
    <w:p>
      <w:pPr>
        <w:pStyle w:val="BodyText"/>
      </w:pPr>
      <w:r>
        <w:rPr>
          <w:iCs/>
          <w:i/>
        </w:rPr>
        <w:t xml:space="preserve">ГУ ПФР № 2 по г. Москве и Московской области неоднократно информировало граждан о том, что большинство государственных услуг Пенсионного фонда России можно получить, не выходя из дома.</w:t>
      </w:r>
    </w:p>
    <w:p>
      <w:pPr>
        <w:pStyle w:val="BodyText"/>
      </w:pPr>
      <w:r>
        <w:t xml:space="preserve">Остановимся конкретно на теме - кому и какими услугами можно пользоваться на портале gosuslugi.ru удаленно.</w:t>
      </w:r>
    </w:p>
    <w:p>
      <w:pPr>
        <w:pStyle w:val="BodyText"/>
      </w:pPr>
      <w:r>
        <w:t xml:space="preserve">Работающим гражданам:</w:t>
      </w:r>
    </w:p>
    <w:p>
      <w:pPr>
        <w:pStyle w:val="BodyText"/>
      </w:pPr>
      <w:r>
        <w:t xml:space="preserve">-получить выписку о состоянии индивидуального лицевого счета в ПФР;</w:t>
      </w:r>
    </w:p>
    <w:p>
      <w:pPr>
        <w:pStyle w:val="BodyText"/>
      </w:pPr>
      <w:r>
        <w:t xml:space="preserve">- узнать стаж и количество накопленных пенсионных баллов;</w:t>
      </w:r>
    </w:p>
    <w:p>
      <w:pPr>
        <w:pStyle w:val="BodyText"/>
      </w:pPr>
      <w:r>
        <w:t xml:space="preserve">- рассчитать будущую страховую пенсию на пенсионном калькуляторе;</w:t>
      </w:r>
    </w:p>
    <w:p>
      <w:pPr>
        <w:pStyle w:val="BodyText"/>
      </w:pPr>
      <w:r>
        <w:t xml:space="preserve">- проконтролировать начисление страховых взносов вашим работодателем;</w:t>
      </w:r>
    </w:p>
    <w:p>
      <w:pPr>
        <w:pStyle w:val="BodyText"/>
      </w:pPr>
      <w:r>
        <w:t xml:space="preserve">- подать заявление на назначение пенсии, и выбрать способ ее доставки;</w:t>
      </w:r>
    </w:p>
    <w:p>
      <w:pPr>
        <w:pStyle w:val="BodyText"/>
      </w:pPr>
      <w:r>
        <w:t xml:space="preserve">- подать заявление на получение сертификата МСК и распоряжение его средствами;</w:t>
      </w:r>
    </w:p>
    <w:p>
      <w:pPr>
        <w:pStyle w:val="BodyText"/>
      </w:pPr>
      <w:r>
        <w:t xml:space="preserve">- узнать страховщика по формированию пенсионных накоплений или подать заявление о смене страховщика;</w:t>
      </w:r>
    </w:p>
    <w:p>
      <w:pPr>
        <w:pStyle w:val="BodyText"/>
      </w:pPr>
      <w:r>
        <w:t xml:space="preserve">- подать заявление на назначение срочной или единовременной выплаты из средств пенсионных накоплений;</w:t>
      </w:r>
    </w:p>
    <w:p>
      <w:pPr>
        <w:pStyle w:val="BodyText"/>
      </w:pPr>
      <w:r>
        <w:t xml:space="preserve">- контролировать свое участие в Программе государственногософинансирования пенсий.</w:t>
      </w:r>
    </w:p>
    <w:p>
      <w:pPr>
        <w:pStyle w:val="BodyText"/>
      </w:pPr>
      <w:r>
        <w:t xml:space="preserve">Пенсионерам:</w:t>
      </w:r>
    </w:p>
    <w:p>
      <w:pPr>
        <w:pStyle w:val="BodyText"/>
      </w:pPr>
      <w:r>
        <w:t xml:space="preserve">- получить информацию о пенсионном обеспечении и установленных социальных выплатах;</w:t>
      </w:r>
    </w:p>
    <w:p>
      <w:pPr>
        <w:pStyle w:val="BodyText"/>
      </w:pPr>
      <w:r>
        <w:t xml:space="preserve">- подать заявление о назначении ежемесячной денежной выплаты и предоставлении НСУ;</w:t>
      </w:r>
    </w:p>
    <w:p>
      <w:pPr>
        <w:pStyle w:val="BodyText"/>
      </w:pPr>
      <w:r>
        <w:t xml:space="preserve">- заказать выписку из федерального регистра лиц, имеющих право на получение социальной помощи;</w:t>
      </w:r>
    </w:p>
    <w:p>
      <w:pPr>
        <w:pStyle w:val="BodyText"/>
      </w:pPr>
      <w:r>
        <w:t xml:space="preserve">- подать заявление об изменении способа доставки пенсии и/или социальных выплат;</w:t>
      </w:r>
    </w:p>
    <w:p>
      <w:pPr>
        <w:pStyle w:val="BodyText"/>
      </w:pPr>
      <w:r>
        <w:t xml:space="preserve">- подать заявление о факте прекращения или возобновления работы;</w:t>
      </w:r>
    </w:p>
    <w:p>
      <w:pPr>
        <w:pStyle w:val="BodyText"/>
      </w:pPr>
      <w:r>
        <w:t xml:space="preserve">- подать заявление о компенсации расходов на оплату стоимости проезда пенсионерам-северянам к месту отдыха и обратно.</w:t>
      </w:r>
    </w:p>
    <w:p>
      <w:pPr>
        <w:pStyle w:val="BodyText"/>
      </w:pPr>
      <w:r>
        <w:t xml:space="preserve">Всем:</w:t>
      </w:r>
    </w:p>
    <w:p>
      <w:pPr>
        <w:pStyle w:val="BodyText"/>
      </w:pPr>
      <w:r>
        <w:t xml:space="preserve">- записаться на прием в ПФР;</w:t>
      </w:r>
    </w:p>
    <w:p>
      <w:pPr>
        <w:pStyle w:val="BodyText"/>
      </w:pPr>
      <w:r>
        <w:t xml:space="preserve">- заказать справки и документы;</w:t>
      </w:r>
    </w:p>
    <w:p>
      <w:pPr>
        <w:pStyle w:val="BodyText"/>
      </w:pPr>
      <w:r>
        <w:t xml:space="preserve">- направить обращение в ПФР;</w:t>
      </w:r>
    </w:p>
    <w:p>
      <w:pPr>
        <w:pStyle w:val="BodyText"/>
      </w:pPr>
      <w:r>
        <w:t xml:space="preserve">- задать вопрос специалисту ПФР онлайн.</w:t>
      </w:r>
    </w:p>
    <w:p>
      <w:pPr>
        <w:pStyle w:val="BodyText"/>
      </w:pPr>
      <w:r>
        <w:t xml:space="preserve">ГУ ПФР № 2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Период ухода за ребенком — нестраховой период — в стаж засчитывается</w:t>
      </w:r>
    </w:p>
    <w:p>
      <w:pPr>
        <w:pStyle w:val="BodyText"/>
      </w:pPr>
      <w:r>
        <w:rPr>
          <w:iCs/>
          <w:i/>
        </w:rPr>
        <w:t xml:space="preserve">ГУ- Главное управление ПФР №2 по Москве и Московской области напоминает, что с 2015 года страховая пенсия по старости формируется в пенсионных баллах: чем их больше, тем выше размер пенсии.</w:t>
      </w:r>
    </w:p>
    <w:p>
      <w:pPr>
        <w:pStyle w:val="BodyText"/>
      </w:pPr>
      <w:r>
        <w:t xml:space="preserve">Баллы могут формироваться как за страховые, так и за нестраховые периоды. Периоды работы, в течение которых за гражданина уплачиваются страховые взносы в Пенсионный фонд, называются страховыми. Нестраховые периоды – когда гражданин не работает и за него работодатели не отчисляют взносы на обязательное пенсионное страхование, но его пенсионные права на страховую пенсию при этом формируются. В частности, к ним относится период ухода за ребенком.</w:t>
      </w:r>
    </w:p>
    <w:p>
      <w:pPr>
        <w:pStyle w:val="BodyText"/>
      </w:pPr>
      <w:r>
        <w:t xml:space="preserve">Согласно ст. 12 Федерального закона от 28.12.2013 № 400-ФЗ «О страховых пенсиях» в страховой стаж засчитывается период ухода одного из родителей за каждым ребенком до достижения им возраста полутора лет, но не более шести лет в общей сложности. Баллы начисляются не более чем за 4 детей.</w:t>
      </w:r>
    </w:p>
    <w:p>
      <w:pPr>
        <w:pStyle w:val="BodyText"/>
      </w:pPr>
      <w:r>
        <w:t xml:space="preserve">Также в страховой стаж может быть включен период ухода за ребенком-инвалидом, если соответствующий период не засчитан в страховой стаж другому родителю при установлении ему страховой пенсии. За эти периоды начисляются пенсионные баллы.</w:t>
      </w:r>
    </w:p>
    <w:p>
      <w:pPr>
        <w:pStyle w:val="BodyText"/>
      </w:pPr>
      <w:r>
        <w:t xml:space="preserve">Так, за один календарный год установлены следующие баллы:</w:t>
      </w:r>
    </w:p>
    <w:p>
      <w:pPr>
        <w:pStyle w:val="BodyText"/>
      </w:pPr>
      <w:r>
        <w:t xml:space="preserve">* 1,8 балла – период ухода за ребенком-инвалидом, инвалидом I группы;</w:t>
      </w:r>
    </w:p>
    <w:p>
      <w:pPr>
        <w:pStyle w:val="BodyText"/>
      </w:pPr>
      <w:r>
        <w:t xml:space="preserve">* 1,8 балла – период ухода одного из родителей за первым ребенком до 1,5 лет;</w:t>
      </w:r>
    </w:p>
    <w:p>
      <w:pPr>
        <w:pStyle w:val="BodyText"/>
      </w:pPr>
      <w:r>
        <w:t xml:space="preserve">* 3,6 балла – период ухода одного из родителей за вторым ребенком до 1,5 лет;</w:t>
      </w:r>
    </w:p>
    <w:p>
      <w:pPr>
        <w:pStyle w:val="BodyText"/>
      </w:pPr>
      <w:r>
        <w:t xml:space="preserve">* 5,4 балла – период ухода одного из родителей за третьим (четвертым) ребенком до 1,5 лет.</w:t>
      </w:r>
    </w:p>
    <w:p>
      <w:pPr>
        <w:pStyle w:val="BodyText"/>
      </w:pPr>
      <w:r>
        <w:t xml:space="preserve">Баллы будут начислены, если в этот период гражданин не состоял в трудовых отношениях.</w:t>
      </w:r>
    </w:p>
    <w:p>
      <w:pPr>
        <w:pStyle w:val="BodyText"/>
      </w:pPr>
      <w:r>
        <w:t xml:space="preserve">Если гражданин в период нахождения в отпуске по уходу за ребенком работал, то у него будет право выбора, какие баллы использовать при расчете пенсии: или за работу, или за нестраховой период. Если несколько входящих в страховой стаж периодов совпадают по времени, то при назначении пенсии учитывается только один из них.</w:t>
      </w:r>
    </w:p>
    <w:p>
      <w:pPr>
        <w:pStyle w:val="BodyText"/>
      </w:pPr>
      <w:r>
        <w:t xml:space="preserve">Гражданин, обратившийся за установлением пенсии, может указать в заявлении выбранный им для учета в страховой стаж период.</w:t>
      </w:r>
    </w:p>
    <w:p>
      <w:pPr>
        <w:pStyle w:val="BodyText"/>
      </w:pPr>
      <w:r>
        <w:t xml:space="preserve">Периоды ухода за ребенком засчитываются в страховой стаж, если им предшествовали и (или) за ними следовали периоды работы и (или) другой деятельности (независимо от их продолжительности), за которые уплачивались страховые взносы на обязательное пенсионное страхование. Это позволяет родителям сформировать свои пенсионные права и получить право на страховую пенсию. При расчете страховой пенсии суммируются все годовые пенсионные баллы, в том числе и баллы за нестраховые периоды.</w:t>
      </w:r>
    </w:p>
    <w:p>
      <w:pPr>
        <w:pStyle w:val="BodyText"/>
      </w:pPr>
      <w:r>
        <w:t xml:space="preserve">Узнать о своих сформированных правах можно в личном кабинете на официальном сайте Пенсионного фонда https://es.pfrf.ru, на портале госуслуг, в мобильном приложении ПФР, а также в Клиентской службе ПФР или МФЦ.</w:t>
      </w:r>
    </w:p>
    <w:p>
      <w:pPr>
        <w:pStyle w:val="BodyText"/>
      </w:pPr>
      <w:r>
        <w:t xml:space="preserve">ВАЖНО! Нестраховые периоды – уход за детьми до 1,5 лет, уход за нетрудоспособными гражданами, служба в армии по призыву – в страховой стаж, дающий право на назначение досрочной пенсии за длительный стаж (42 года для мужчин и 37 лет для женщин), не засчитываются.</w:t>
      </w:r>
    </w:p>
    <w:p>
      <w:pPr>
        <w:pStyle w:val="BodyText"/>
      </w:pPr>
      <w:r>
        <w:t xml:space="preserve">Напомним, для назначения страховой пенсии по старости в 2019 году необходимо иметь не менее 10 лет стажа и 16,2 пенсионных балла. Ежегодно количество баллов и стажа будет увеличиваться, пока не станет равным 30 и 15 соответственно. Максимальное количество пенсионных баллов, которое можно «заработать» в 2019 году, составляет 9,13.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что можно использовать материнский (семейный) капитал</w:t>
      </w:r>
    </w:p>
    <w:p>
      <w:pPr>
        <w:pStyle w:val="BodyText"/>
      </w:pPr>
      <w:r>
        <w:rPr>
          <w:iCs/>
          <w:i/>
        </w:rPr>
        <w:t xml:space="preserve">Главное управление ПФР № 2 по г. Москве и Московской области информирует граждан по вопросам использования средств материнского (семейного) капитала.</w:t>
      </w:r>
    </w:p>
    <w:p>
      <w:pPr>
        <w:pStyle w:val="BodyText"/>
      </w:pPr>
      <w:r>
        <w:t xml:space="preserve">Список направлений использования средств материнского капитала не изменился, он</w:t>
      </w:r>
    </w:p>
    <w:p>
      <w:pPr>
        <w:pStyle w:val="BodyText"/>
      </w:pPr>
      <w:r>
        <w:t xml:space="preserve">остался прежним. Средства материнского капитала можно направить на следующие цели:</w:t>
      </w:r>
    </w:p>
    <w:p>
      <w:pPr>
        <w:pStyle w:val="BodyText"/>
      </w:pPr>
      <w:r>
        <w:t xml:space="preserve">1. Улучшение жилищных условий (приобретение и строительство жилья,</w:t>
      </w:r>
    </w:p>
    <w:p>
      <w:pPr>
        <w:pStyle w:val="BodyText"/>
      </w:pPr>
      <w:r>
        <w:t xml:space="preserve">реконструкция индивидуального жилого дома (увеличение жилой площади), погашение</w:t>
      </w:r>
    </w:p>
    <w:p>
      <w:pPr>
        <w:pStyle w:val="BodyText"/>
      </w:pPr>
      <w:r>
        <w:t xml:space="preserve">целевых кредитов (займов),</w:t>
      </w:r>
    </w:p>
    <w:p>
      <w:pPr>
        <w:pStyle w:val="BodyText"/>
      </w:pPr>
      <w:r>
        <w:t xml:space="preserve">компенсацию затрат, понесенных на строительство</w:t>
      </w:r>
    </w:p>
    <w:p>
      <w:pPr>
        <w:pStyle w:val="BodyText"/>
      </w:pPr>
      <w:r>
        <w:t xml:space="preserve">индивидуального жилого дома;</w:t>
      </w:r>
    </w:p>
    <w:p>
      <w:pPr>
        <w:pStyle w:val="BodyText"/>
      </w:pPr>
      <w:r>
        <w:t xml:space="preserve">2. Образование детей (оплата образовательных услуг, оказываемых организацией,</w:t>
      </w:r>
    </w:p>
    <w:p>
      <w:pPr>
        <w:pStyle w:val="BodyText"/>
      </w:pPr>
      <w:r>
        <w:t xml:space="preserve">дополнительные образовательные услуги, оплата проживания детей в этот период в</w:t>
      </w:r>
    </w:p>
    <w:p>
      <w:pPr>
        <w:pStyle w:val="BodyText"/>
      </w:pPr>
      <w:r>
        <w:t xml:space="preserve">общежитии, оплата содержания детей или присмотра и ухода за детьми в детском саду</w:t>
      </w:r>
    </w:p>
    <w:p>
      <w:pPr>
        <w:pStyle w:val="BodyText"/>
      </w:pPr>
      <w:r>
        <w:t xml:space="preserve">(школе));</w:t>
      </w:r>
    </w:p>
    <w:p>
      <w:pPr>
        <w:pStyle w:val="BodyText"/>
      </w:pPr>
      <w:r>
        <w:t xml:space="preserve">3. Увеличение будущей пенсии матери (средства материнского капитала могут быть</w:t>
      </w:r>
    </w:p>
    <w:p>
      <w:pPr>
        <w:pStyle w:val="BodyText"/>
      </w:pPr>
      <w:r>
        <w:t xml:space="preserve">направлены на накопительную часть пенсии и включены в пенсионные накопления);</w:t>
      </w:r>
    </w:p>
    <w:p>
      <w:pPr>
        <w:pStyle w:val="BodyText"/>
      </w:pPr>
      <w:r>
        <w:t xml:space="preserve">4. Оплата товаров и услуг, предназначенных для социальной адаптации и интеграции</w:t>
      </w:r>
    </w:p>
    <w:p>
      <w:pPr>
        <w:pStyle w:val="BodyText"/>
      </w:pPr>
      <w:r>
        <w:t xml:space="preserve">в общество детей-инвалидов (компенсации расходов на приобретение товаров и услуг в</w:t>
      </w:r>
    </w:p>
    <w:p>
      <w:pPr>
        <w:pStyle w:val="BodyText"/>
      </w:pPr>
      <w:r>
        <w:t xml:space="preserve">соответствии с перечнем, утверждённым распоряжением Правительства РФ, и</w:t>
      </w:r>
    </w:p>
    <w:p>
      <w:pPr>
        <w:pStyle w:val="BodyText"/>
      </w:pPr>
      <w:r>
        <w:t xml:space="preserve">индивидуальной программой реабилитации);</w:t>
      </w:r>
    </w:p>
    <w:p>
      <w:pPr>
        <w:pStyle w:val="BodyText"/>
      </w:pPr>
      <w:r>
        <w:t xml:space="preserve">5. Получение ежемесячной выплаты из средств материнского капитала (для семей с</w:t>
      </w:r>
    </w:p>
    <w:p>
      <w:pPr>
        <w:pStyle w:val="BodyText"/>
      </w:pPr>
      <w:r>
        <w:t xml:space="preserve">низким доходом, в которых после 1 января 2018 года родился второй ребёнок).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 гражданах предпенсионного возраста и гарантиях социальной поддержки</w:t>
      </w:r>
    </w:p>
    <w:p>
      <w:pPr>
        <w:pStyle w:val="BodyText"/>
      </w:pPr>
      <w:r>
        <w:rPr>
          <w:iCs/>
          <w:i/>
        </w:rPr>
        <w:t xml:space="preserve">Федеральным законом от 03.10.2018 № 350-ФЗ «О внесении изменений в отдельные законодательные акты Российской Федерации по вопросам назначения и выплаты пенсий», вступившим в силу с 1 января 2019 года, введено новое понятие — граждане предпенсионного возраста и определены меры социальной поддержки (путем внесения изменений в соответствующие федеральные законы) данной категории граждан.</w:t>
      </w:r>
    </w:p>
    <w:p>
      <w:pPr>
        <w:pStyle w:val="BodyText"/>
      </w:pPr>
      <w:r>
        <w:t xml:space="preserve">При этом необходимо понимать, что меры социальной поддержки, условия их получения прописаны в разных федеральных законах и имеют определенные нюансы.</w:t>
      </w:r>
    </w:p>
    <w:p>
      <w:pPr>
        <w:pStyle w:val="BodyText"/>
      </w:pPr>
      <w:r>
        <w:t xml:space="preserve">Относительно налоговых льгот. Согласно положениям Федерального закона от 30.10.2018 № 378-ФЗ «О внесении изменений в статьи 391 и 407 части второй Налогового кодекса Российской Федерации» право на налоговые льготы имеют физические лица, соответствующие условиям, необходимым для назначения пенсии в соответствии с законодательством РФ, действовавшим на 31 декабря 2018 года, то есть женщины по достижении возраста 55 лет и мужчины по достижении возраста 60 лет.</w:t>
      </w:r>
    </w:p>
    <w:p>
      <w:pPr>
        <w:pStyle w:val="BodyText"/>
      </w:pPr>
      <w:r>
        <w:t xml:space="preserve">Относительно диспансеризации. Статьей 185.1 «Гарантии работникам при прохождении диспансеризации» Трудового кодекса РФ к предпенсионерам отнесены 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возраста. Они имеют право на освобождение от работы на два рабочих дня один раз в год с сохранением за ними места работы и среднего заработка для прохождения диспансеризации в порядке, предусмотренном законодательством в сфере охраны здоровья.</w:t>
      </w:r>
    </w:p>
    <w:p>
      <w:pPr>
        <w:pStyle w:val="BodyText"/>
      </w:pPr>
      <w:r>
        <w:t xml:space="preserve">Относительно занятости. В соответствии со статьей 5 Закона РФ 19.04.1991 № 1032-1 «О занятости населения в РФ» лицами предпенсионного возраста являются граждане в течение пяти лет до наступления возраста, дающего право на страховую пенсию по старости, в том числе назначаемую досрочно. Для данных граждан предусмотрена более высокая максимальная величина пособия по безработице — 11 280 рублей и более длительный срок выплаты указанного пособия.</w:t>
      </w:r>
    </w:p>
    <w:p>
      <w:pPr>
        <w:pStyle w:val="BodyText"/>
      </w:pPr>
      <w:r>
        <w:t xml:space="preserve">В части мер социальной поддержки (относительно занятости и диспансеризации) предпенсионерами в 2019 году являются, исходя из того, что «новый» общеустановленный возраст для женщин — 56 лет и для мужчин — 61 год: женщины 1964, 1965, 1966, 1967 и 1968 г.г. рождения, мужчины — 1959, 1960, 1961, 1962 и 1963 г.г. рождения. В 2020 году, исходя из общеустановленного «нового» возраста в 57 лет для женщин и 62 года для мужчин, предпенсионерами являются женщины 1965, 1966, 1967 и 1968 г.г. рождения и мужчины 1960, 1961, 1962 и 1963 г.г. рождения. И так далее до 2028 года — окончания переходного периода по установлению «нового» пенсионного возраста.</w:t>
      </w:r>
    </w:p>
    <w:p>
      <w:pPr>
        <w:pStyle w:val="BodyText"/>
      </w:pPr>
      <w:r>
        <w:t xml:space="preserve">Следует добавить, что меры социальной поддержки для граждан предпенсионного возраста установлены не только федеральным, но и региональным законодательством.</w:t>
      </w:r>
    </w:p>
    <w:p>
      <w:pPr>
        <w:pStyle w:val="BodyText"/>
      </w:pPr>
      <w:r>
        <w:t xml:space="preserve">ГУ ПФР №2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Льготы и гарантии людям предпенсионного возраста</w:t>
      </w:r>
    </w:p>
    <w:p>
      <w:pPr>
        <w:pStyle w:val="BodyText"/>
      </w:pPr>
      <w:r>
        <w:rPr>
          <w:iCs/>
          <w:i/>
        </w:rPr>
        <w:t xml:space="preserve">С 1 января 2019 года в российское законодательство вводится понятие "предпенсионный возраст".</w:t>
      </w:r>
    </w:p>
    <w:p>
      <w:pPr>
        <w:pStyle w:val="BodyText"/>
      </w:pPr>
      <w:r>
        <w:t xml:space="preserve">Льготы и гарантии людям предпенсионного возраста</w:t>
      </w:r>
    </w:p>
    <w:p>
      <w:pPr>
        <w:pStyle w:val="BodyText"/>
      </w:pPr>
      <w:r>
        <w:t xml:space="preserve">Для граждан предпенсионного возраста сохраняются льготы и меры социальной поддержки, ранее предоставлявшиеся пенсионерам: бесплатные лекарства и проезд на транспорте, скидка на оплату услуг ЖКХ и другие.</w:t>
      </w:r>
    </w:p>
    <w:p>
      <w:pPr>
        <w:pStyle w:val="BodyText"/>
      </w:pPr>
      <w:r>
        <w:t xml:space="preserve">В этом году для предпенсионеров вводятся дополнительные льготы. Установлена административная и уголовная ответственность для работодателей за увольнение работников предпенсионного возраста или отказ в приеме их на работу по причине возраста. Работники-предпенсионеры также имеют право на два дня для бесплатной диспансеризации с сохранением заработной платы.</w:t>
      </w:r>
    </w:p>
    <w:p>
      <w:pPr>
        <w:pStyle w:val="BodyText"/>
      </w:pPr>
      <w:r>
        <w:t xml:space="preserve">Большинство россиян станут предпенсионерами за пять лет до нового пенсионного возраста с учетом переходного периода. С этого года правом на льготы пользуются женщины 1968 года рождения и старше и мужчины 1963 года рождения и старше.</w:t>
      </w:r>
    </w:p>
    <w:p>
      <w:pPr>
        <w:pStyle w:val="BodyText"/>
      </w:pPr>
      <w:r>
        <w:t xml:space="preserve">У работников опасных и тяжелых профессий, позволяющих досрочно выходить на пенсию, предпенсионный возраст наступает за 5 лет до возраста досрочной пенсии. Для этого им нужно работать по соответствующей специальности, а если они сменили деятельность - выработать требуемый стаж.</w:t>
      </w:r>
    </w:p>
    <w:p>
      <w:pPr>
        <w:pStyle w:val="BodyText"/>
      </w:pPr>
      <w:r>
        <w:t xml:space="preserve">У врачей, учителей и других работников, которые могут выйти на пенсию не с определённых лет, а при выработке определённого стажа, так же рассчитывается и предпенсионный возраст.</w:t>
      </w:r>
    </w:p>
    <w:p>
      <w:pPr>
        <w:pStyle w:val="BodyText"/>
      </w:pPr>
      <w:r>
        <w:t xml:space="preserve">Граждане, у которых пенсионный возраст после реформы не изменился, тоже могут стать предпенсионерами. При определении их статуса учитываются два фактора. Во-первых, основание, дающее право на досрочное назначение пенсии – им может быть необходимое количество детей, инвалидность, стаж на вредном производстве. Во-вторых, возраст назначения пенсии, от которого отсчитывается пятилетний льготный период. Налоговые льготы предоставляются таким людям по достижении прежних границ пенсионного возраста: для большинства россиян это 55 - 60 лет .</w:t>
      </w:r>
    </w:p>
    <w:p>
      <w:pPr>
        <w:pStyle w:val="BodyText"/>
      </w:pPr>
      <w:r>
        <w:t xml:space="preserve">Подтверждение предпенсионного статуса</w:t>
      </w:r>
    </w:p>
    <w:p>
      <w:pPr>
        <w:pStyle w:val="BodyText"/>
      </w:pPr>
      <w:r>
        <w:t xml:space="preserve">Получить документ, подтверждающий право на предпенсионные льготы, можно следующими способами:</w:t>
      </w:r>
    </w:p>
    <w:p>
      <w:pPr>
        <w:pStyle w:val="BodyText"/>
      </w:pPr>
      <w:r>
        <w:t xml:space="preserve">- подать заявление в ведомство, предоставляющее льготу, где уже будет вся необходимая информация. К примеру, чтобы воспользоваться налоговыми льготами, предпенсионеру нужно обратиться в налоговый орган, и его специалисты самостоятельно сделают запрос в ПФР. У Пенсионного фонда также налажено взаимодействие с центрами занятости и работодателями.</w:t>
      </w:r>
    </w:p>
    <w:p>
      <w:pPr>
        <w:pStyle w:val="BodyText"/>
      </w:pPr>
      <w:r>
        <w:t xml:space="preserve">- через электронный сервис в личном кабинете на сайте Пенсионного фонда, позволяющий заказать справку об отнесении гражданина к предпенсионерам.</w:t>
      </w:r>
    </w:p>
    <w:p>
      <w:pPr>
        <w:pStyle w:val="BodyText"/>
      </w:pPr>
      <w:r>
        <w:t xml:space="preserve">Справку в формате PDF и XML можно получить за несколько секунд. Для этого необходимо зарегистрироваться на едином портале госуслуг, войти в личный кабинет, выбрать в разделе «Пенсии» вкладку «Заказать справку (выписку): об отнесении гражданина к категории граждан предпенсионного возраста», после чего указать орган, куда предоставляются сведения. При желании справку можно получить на электронную почту, сохранить и распечатать.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 пенсионеров на лицевом счете отражаются только вновь</w:t>
      </w:r>
    </w:p>
    <w:p>
      <w:pPr>
        <w:pStyle w:val="BodyText"/>
      </w:pPr>
      <w:r>
        <w:rPr>
          <w:bCs/>
          <w:b/>
        </w:rPr>
        <w:t xml:space="preserve">приобретенные пенсионные права</w:t>
      </w:r>
    </w:p>
    <w:p>
      <w:pPr>
        <w:pStyle w:val="BodyText"/>
      </w:pPr>
      <w:r>
        <w:rPr>
          <w:iCs/>
          <w:i/>
        </w:rPr>
        <w:t xml:space="preserve">На индивидуальном лицевом счете (ИЛС) в Пенсионном фонде хранится информация о пенсионных правах каждого застрахованного в системе обязательного пенсионного страхования гражданина.</w:t>
      </w:r>
    </w:p>
    <w:p>
      <w:pPr>
        <w:pStyle w:val="BodyText"/>
      </w:pPr>
      <w:r>
        <w:t xml:space="preserve">Эта информация конфиденциальна и хранится с соблюдением установленных правил, предъявляемых к хранению персональных данных граждан. Сведения, указанные в ИЛС, сформированы на основе данных, переданных в ПФР работодателями и гражданами.</w:t>
      </w:r>
    </w:p>
    <w:p>
      <w:pPr>
        <w:pStyle w:val="BodyText"/>
      </w:pPr>
      <w:r>
        <w:t xml:space="preserve">Согласно действующему законодательству пополнение индивидуальных лицевых счетов сведениями о стаже и страховых взносах осуществляется:</w:t>
      </w:r>
    </w:p>
    <w:p>
      <w:pPr>
        <w:pStyle w:val="BodyText"/>
      </w:pPr>
      <w:r>
        <w:t xml:space="preserve">сведения о сумме заработка (дохода) и сумме страховых взносов на обязательное пенсионное страхование актуализируются на лицевом счёте гражданина ежеквартально после представления отчета работодателем в органы налоговой инспекции — не позднее 30 числа месяца, следующего за истечением квартала;</w:t>
      </w:r>
    </w:p>
    <w:p>
      <w:pPr>
        <w:pStyle w:val="BodyText"/>
      </w:pPr>
      <w:r>
        <w:t xml:space="preserve">данные о продолжительности стажа актуализируются на лицевом счёте гражданина один раз в год после представления работодателем отчетности о стаже — до 1 марта следующего года (то есть до 1 марта 2019 года — срок отчетности за 2018 год).</w:t>
      </w:r>
    </w:p>
    <w:p>
      <w:pPr>
        <w:pStyle w:val="BodyText"/>
      </w:pPr>
      <w:r>
        <w:t xml:space="preserve">Информация о пенсионных правах физических лиц, самостоятельно уплачивающих страховые взносы (предпринимателей, адвокатов и других категорий граждан), актуализируется на лицевых счетах также раз в год, так как сведения об уплаченных страховых взносах за прошедший год поступают в Пенсионный фонд из Федеральной налоговой службы ежегодно.</w:t>
      </w:r>
    </w:p>
    <w:p>
      <w:pPr>
        <w:pStyle w:val="BodyText"/>
      </w:pPr>
      <w:r>
        <w:t xml:space="preserve">ВАЖНО! У тех граждан, которые уже являются получателями пенсии, на лицевом счете отражаются только вновь приобретенные пенсионные права, которые не учтены при первоначальном назначении или перерасчете пенсии.</w:t>
      </w:r>
    </w:p>
    <w:p>
      <w:pPr>
        <w:pStyle w:val="BodyText"/>
      </w:pPr>
      <w:r>
        <w:t xml:space="preserve">Пенсионер может обратиться в территориальный орган Пенсионного фонда за предоставлением сведений, на основании которых ему была назначена или перерасчитана пенсия.</w:t>
      </w:r>
    </w:p>
    <w:p>
      <w:pPr>
        <w:pStyle w:val="BodyText"/>
      </w:pPr>
      <w:r>
        <w:t xml:space="preserve">Отделение ПФР по городу Москве и Московской области напоминает, что узнать о сформированных пенсионных правах, которые отражены на индивидуальном лицевом счёте (ИЛС), можно: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на официальном сайте ПФР ;</w:t>
      </w:r>
    </w:p>
    <w:p>
      <w:pPr>
        <w:pStyle w:val="BodyText"/>
      </w:pPr>
      <w:r>
        <w:t xml:space="preserve">в Клиентской службе ПФР;</w:t>
      </w:r>
    </w:p>
    <w:p>
      <w:pPr>
        <w:pStyle w:val="BodyText"/>
      </w:pPr>
      <w:r>
        <w:t xml:space="preserve">через</w:t>
      </w:r>
      <w:r>
        <w:t xml:space="preserve"> </w:t>
      </w:r>
      <w:hyperlink r:id="rId21">
        <w:r>
          <w:rPr>
            <w:rStyle w:val="Hyperlink"/>
          </w:rPr>
          <w:t xml:space="preserve">портал госуслуг</w:t>
        </w:r>
      </w:hyperlink>
      <w:r>
        <w:t xml:space="preserve">.</w:t>
      </w:r>
    </w:p>
    <w:p>
      <w:pPr>
        <w:pStyle w:val="BodyText"/>
      </w:pPr>
      <w:r>
        <w:t xml:space="preserve">По вопросу уточнения сведений ИЛС также можно обратиться для консультации в Пенсионный фонд России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http://krylatskoe.mos.ru/presscenter/news/detail/7928290.html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928290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928290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2025-08-06T15:12:08Z</dcterms:created>
  <dcterms:modified xsi:type="dcterms:W3CDTF">2025-08-06T15:12:08Z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