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9494cba0f11b91fe0367953e6fb292775d25b"/>
    <w:p>
      <w:pPr>
        <w:pStyle w:val="Heading3"/>
      </w:pPr>
      <w:r>
        <w:t xml:space="preserve">4 сентября глава управы Крылатское встретился с представителями садового товарищества «Огородник» и посёлка «Речник»</w:t>
      </w:r>
    </w:p>
    <w:p>
      <w:pPr>
        <w:pStyle w:val="FirstParagraph"/>
      </w:pPr>
      <w:r>
        <w:t xml:space="preserve">06.09.2018</w:t>
      </w:r>
    </w:p>
    <w:p>
      <w:pPr>
        <w:pStyle w:val="BodyText"/>
      </w:pPr>
      <w:r>
        <w:t xml:space="preserve">Эти товарищества были организованны в 1957 году.</w:t>
      </w:r>
    </w:p>
    <w:p>
      <w:pPr>
        <w:pStyle w:val="BodyText"/>
      </w:pPr>
      <w:r>
        <w:t xml:space="preserve">Совместно с начальником ОМВД по району Крылатское Игнатовым А.В. обсудили возможность интеграции поселка и садового товарищества в район Крылатское и договорились через месяц провести повторную встречу!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http://krylatskoe.mos.ru/presscenter/news/detail/7555451.html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55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55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2024-06-01T16:57:03Z</dcterms:created>
  <dcterms:modified xsi:type="dcterms:W3CDTF">2024-06-01T16:57:03Z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