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d77f3a290fd643fe6474c8f1d45ed79b85311"/>
    <w:p>
      <w:pPr>
        <w:pStyle w:val="Heading3"/>
      </w:pPr>
      <w:r>
        <w:t xml:space="preserve">Новый порядок применения контрольно-кассовой техники</w:t>
      </w:r>
    </w:p>
    <w:p>
      <w:pPr>
        <w:pStyle w:val="FirstParagraph"/>
      </w:pPr>
      <w:r>
        <w:t xml:space="preserve">27.06.2018</w:t>
      </w:r>
    </w:p>
    <w:p>
      <w:pPr>
        <w:pStyle w:val="BodyText"/>
      </w:pPr>
      <w:r>
        <w:t xml:space="preserve"> 13 июля 2016 г. вступил в силу Федеральный закон № 290-ФЗ «О внесении изменений в Федеральный закон «О применении контрольно-кассовой техники при осуществлении наличных денежных расчетов и (или) расчетов с использованием платежных карт».</w:t>
      </w:r>
    </w:p>
    <w:p>
      <w:pPr>
        <w:pStyle w:val="BodyText"/>
      </w:pPr>
      <w:r>
        <w:t xml:space="preserve">Ключевым изменением является переход к применению новой контрольно-кассовой техники (ККТ), которая будет передавать данные об операциях в налоговые органы в онлайн-режиме через оператора фискальных данных.</w:t>
      </w:r>
    </w:p>
    <w:p>
      <w:pPr>
        <w:pStyle w:val="BodyText"/>
      </w:pPr>
      <w:r>
        <w:rPr>
          <w:u w:val="single"/>
          <w:bCs/>
          <w:b/>
        </w:rPr>
        <w:t xml:space="preserve">Могут не применять ККТ:</w:t>
      </w:r>
    </w:p>
    <w:p>
      <w:pPr>
        <w:pStyle w:val="BodyText"/>
      </w:pPr>
      <w:r>
        <w:t xml:space="preserve">1. Организации и ИП при осуществлении</w:t>
      </w:r>
      <w:r>
        <w:t xml:space="preserve"> </w:t>
      </w:r>
      <w:r>
        <w:rPr>
          <w:bCs/>
          <w:b/>
        </w:rPr>
        <w:t xml:space="preserve">отдельных видов деятельности</w:t>
      </w:r>
      <w:r>
        <w:t xml:space="preserve"> </w:t>
      </w:r>
      <w:r>
        <w:t xml:space="preserve">(продажа газет, журналов; продажа ценных бумаг; разносная торговля; ремонт обуви; присмотр и уход за детьми, и т. д.)*.</w:t>
      </w:r>
    </w:p>
    <w:p>
      <w:pPr>
        <w:pStyle w:val="BodyText"/>
      </w:pPr>
      <w:r>
        <w:t xml:space="preserve">2. Организации и ИП, оказывающие</w:t>
      </w:r>
      <w:r>
        <w:t xml:space="preserve"> </w:t>
      </w:r>
      <w:r>
        <w:rPr>
          <w:bCs/>
          <w:b/>
        </w:rPr>
        <w:t xml:space="preserve">услуги по проведению религиозных обрядов и церемоний,</w:t>
      </w:r>
      <w:r>
        <w:t xml:space="preserve"> </w:t>
      </w:r>
      <w:r>
        <w:t xml:space="preserve">при реализации предметов религиозного культа и религиозной литературы в культовых зданиях и сооружениях.</w:t>
      </w:r>
    </w:p>
    <w:p>
      <w:pPr>
        <w:pStyle w:val="BodyText"/>
      </w:pPr>
      <w:r>
        <w:t xml:space="preserve">3. Аптечные организации, находящиеся в</w:t>
      </w:r>
      <w:r>
        <w:t xml:space="preserve"> </w:t>
      </w:r>
      <w:r>
        <w:rPr>
          <w:bCs/>
          <w:b/>
        </w:rPr>
        <w:t xml:space="preserve">фельдшерских и фельдшерско-акушерских пунктах в сельских населенных пунктах.</w:t>
      </w:r>
    </w:p>
    <w:p>
      <w:pPr>
        <w:pStyle w:val="BodyText"/>
      </w:pPr>
      <w:r>
        <w:t xml:space="preserve">4. Кредитные организации в</w:t>
      </w:r>
      <w:r>
        <w:t xml:space="preserve"> </w:t>
      </w:r>
      <w:r>
        <w:rPr>
          <w:bCs/>
          <w:b/>
        </w:rPr>
        <w:t xml:space="preserve">автоматических устройствах для расчетов</w:t>
      </w:r>
      <w:r>
        <w:t xml:space="preserve"> </w:t>
      </w:r>
      <w:r>
        <w:t xml:space="preserve">(осуществляющих операции по выдаче и приему наличных денежных средств).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http://krylatskoe.mos.ru/presscenter/news/detail/7417234.html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417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417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2024-06-24T19:24:58Z</dcterms:created>
  <dcterms:modified xsi:type="dcterms:W3CDTF">2024-06-24T19:24:58Z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