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24445fa9916d78ef1657606c65497da02b56b"/>
    <w:p>
      <w:pPr>
        <w:pStyle w:val="Heading3"/>
      </w:pPr>
      <w:r>
        <w:t xml:space="preserve">О режиме работы предприятий торговли города Москвы в дни празднования 12 июня 2016 – Дня России</w:t>
      </w:r>
    </w:p>
    <w:p>
      <w:pPr>
        <w:pStyle w:val="FirstParagraph"/>
      </w:pPr>
      <w:r>
        <w:t xml:space="preserve">06.06.2016</w:t>
      </w:r>
    </w:p>
    <w:p>
      <w:pPr>
        <w:pStyle w:val="BodyText"/>
      </w:pPr>
      <w:r>
        <w:rPr>
          <w:iCs/>
          <w:i/>
        </w:rPr>
        <w:t xml:space="preserve">В целях обеспечения стабильного торгового обслуживания населения в праздничные дни июня 2016 года Департамент торговли и услуг города Москвы рекомендует следующий режим работы для предприятий торговли города Москвы:</w:t>
      </w:r>
    </w:p>
    <w:p>
      <w:pPr>
        <w:pStyle w:val="BodyText"/>
      </w:pPr>
      <w:r>
        <w:rPr>
          <w:bCs/>
          <w:b/>
        </w:rPr>
        <w:t xml:space="preserve">11, 12, 13 июня 2016 года</w:t>
      </w:r>
      <w:r>
        <w:t xml:space="preserve"> </w:t>
      </w:r>
      <w:r>
        <w:t xml:space="preserve">всем предприятиям розничной торговли рекомендуется работать по режиму выходного дня.</w:t>
      </w:r>
    </w:p>
    <w:p>
      <w:pPr>
        <w:pStyle w:val="BodyText"/>
      </w:pPr>
      <w:r>
        <w:t xml:space="preserve">Магазинам с круглосуточным режимом рекомендуется работать без изменений.</w:t>
      </w:r>
    </w:p>
    <w:p>
      <w:pPr>
        <w:pStyle w:val="BodyText"/>
      </w:pPr>
      <w:r>
        <w:t xml:space="preserve">Розничным рынкам в перечисленные дни предлагается работать по режиму, установленному управляющими компаниями.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http://krylatskoe.mos.ru/presscenter/news/detail/3090043.html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090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090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2024-11-28T19:17:41Z</dcterms:created>
  <dcterms:modified xsi:type="dcterms:W3CDTF">2024-11-28T19:17:41Z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