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c07efae5997c700af0ce611375c0ccc6d7371"/>
    <w:p>
      <w:pPr>
        <w:pStyle w:val="Heading3"/>
      </w:pPr>
      <w:r>
        <w:t xml:space="preserve">Смена реквизитов в Едином платежном документе не отразится на счетах плательщиков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rPr>
          <w:iCs/>
          <w:i/>
        </w:rPr>
        <w:t xml:space="preserve">С июня 2016 года в Едином платежном документе на оплату услуг ЖКХ будут указываться реквизиты нового финансового оператора - банка ВТБ, а не Банка Москвы. Данные изменения носят юридический характер и не отразятся на учёте внесения денежных средств на счёт конкретного потребителя.</w:t>
      </w:r>
    </w:p>
    <w:p>
      <w:pPr>
        <w:pStyle w:val="BodyText"/>
      </w:pPr>
      <w:r>
        <w:t xml:space="preserve">Так денежные средства, оплаченные за жилищно-коммунальные услуги по ЕПД, поступают на транзитный счёт, а оттуда распределяются по поставщикам жилищно-коммунальных услуг. Информация о поступлении и распределении денежных средств учитывается в финансово-лицевом счёте плательщика. Номер транзитного счёта и номера финансово-лицевых счетов, а также коды плательщиков не меняются. Таким образом, меняются только реквизиты банка, а счёт плательщика остаётся прежним. А все средства, которые москвичи заплатят по Единому платёжному документу, будут зачислены на счёт плательщика - независимо от того, какие реквизиты банка указаны в квитанции.</w:t>
      </w:r>
    </w:p>
    <w:p>
      <w:pPr>
        <w:pStyle w:val="BodyText"/>
      </w:pPr>
      <w:r>
        <w:t xml:space="preserve">В настоящее время контрагенты ВТБ (список этих банков, платёжных сервисов и систем, осуществляющих приём платежей за ЖКУ по Единому платёжному документу, приведён ниже) получили уведомление о смене реквизитов финансового оператора. И они, в свою очередь, обязуются принимать к оплате Единые платёжные документы как с новыми, так и старыми реквизитами. Банки, не заключившие договор с ВТБ, будут принимать квитанции со старыми реквизитами до ноября 2016 года.</w:t>
      </w:r>
    </w:p>
    <w:p>
      <w:pPr>
        <w:pStyle w:val="BodyText"/>
      </w:pPr>
      <w:r>
        <w:t xml:space="preserve">Напомним, что изменение реквизитов в ЕПД связано с присоединением Банка Москвы к банку ВТБ. В рамках этого процесса осуществляется передача функции финансового оператора системы ЕИРЦ от ОАО «Банк Москвы» в Банк ВТБ.</w:t>
      </w:r>
    </w:p>
    <w:p>
      <w:pPr>
        <w:pStyle w:val="BodyText"/>
      </w:pPr>
      <w:r>
        <w:rPr>
          <w:iCs/>
          <w:i/>
        </w:rPr>
        <w:t xml:space="preserve">Список банков-агентов:</w:t>
      </w:r>
    </w:p>
    <w:p>
      <w:pPr>
        <w:pStyle w:val="BodyText"/>
      </w:pPr>
      <w:r>
        <w:rPr>
          <w:iCs/>
          <w:i/>
        </w:rPr>
        <w:t xml:space="preserve">* ПАО Сбербанк</w:t>
      </w:r>
    </w:p>
    <w:p>
      <w:pPr>
        <w:pStyle w:val="BodyText"/>
      </w:pPr>
      <w:r>
        <w:rPr>
          <w:iCs/>
          <w:i/>
        </w:rPr>
        <w:t xml:space="preserve">* «ВТБ 24» (ПАО)</w:t>
      </w:r>
    </w:p>
    <w:p>
      <w:pPr>
        <w:pStyle w:val="BodyText"/>
      </w:pPr>
      <w:r>
        <w:rPr>
          <w:iCs/>
          <w:i/>
        </w:rPr>
        <w:t xml:space="preserve">* УФПС по г. Москве-филиал ФГУП «Почта России»</w:t>
      </w:r>
    </w:p>
    <w:p>
      <w:pPr>
        <w:pStyle w:val="BodyText"/>
      </w:pPr>
      <w:r>
        <w:rPr>
          <w:iCs/>
          <w:i/>
        </w:rPr>
        <w:t xml:space="preserve">* УФСП Московской области-филиал ФГУП «Почта России»</w:t>
      </w:r>
    </w:p>
    <w:p>
      <w:pPr>
        <w:pStyle w:val="BodyText"/>
      </w:pPr>
      <w:r>
        <w:rPr>
          <w:iCs/>
          <w:i/>
        </w:rPr>
        <w:t xml:space="preserve">* Банк «Возрождение» (ПАО)</w:t>
      </w:r>
    </w:p>
    <w:p>
      <w:pPr>
        <w:pStyle w:val="BodyText"/>
      </w:pPr>
      <w:r>
        <w:rPr>
          <w:iCs/>
          <w:i/>
        </w:rPr>
        <w:t xml:space="preserve">* ПАО «Мособлбанк»</w:t>
      </w:r>
    </w:p>
    <w:p>
      <w:pPr>
        <w:pStyle w:val="BodyText"/>
      </w:pPr>
      <w:r>
        <w:rPr>
          <w:iCs/>
          <w:i/>
        </w:rPr>
        <w:t xml:space="preserve">* ПАО «Банк Уралсиб»</w:t>
      </w:r>
    </w:p>
    <w:p>
      <w:pPr>
        <w:pStyle w:val="BodyText"/>
      </w:pPr>
      <w:r>
        <w:rPr>
          <w:iCs/>
          <w:i/>
        </w:rPr>
        <w:t xml:space="preserve">* АКБ «Военно-Промышленный банк» (ЗАО)</w:t>
      </w:r>
    </w:p>
    <w:p>
      <w:pPr>
        <w:pStyle w:val="BodyText"/>
      </w:pPr>
      <w:r>
        <w:rPr>
          <w:iCs/>
          <w:i/>
        </w:rPr>
        <w:t xml:space="preserve">* КИВИ Банк (АО)</w:t>
      </w:r>
    </w:p>
    <w:p>
      <w:pPr>
        <w:pStyle w:val="BodyText"/>
      </w:pPr>
      <w:r>
        <w:rPr>
          <w:iCs/>
          <w:i/>
        </w:rPr>
        <w:t xml:space="preserve">* ООО НКО «Рапида»</w:t>
      </w:r>
    </w:p>
    <w:p>
      <w:pPr>
        <w:pStyle w:val="BodyText"/>
      </w:pPr>
      <w:r>
        <w:rPr>
          <w:iCs/>
          <w:i/>
        </w:rPr>
        <w:t xml:space="preserve">* АО НКО «Москлирингцентр»</w:t>
      </w:r>
    </w:p>
    <w:p>
      <w:pPr>
        <w:pStyle w:val="BodyText"/>
      </w:pPr>
      <w:r>
        <w:rPr>
          <w:iCs/>
          <w:i/>
        </w:rPr>
        <w:t xml:space="preserve">* АКБ «ФИНАРС Банк» (ЗАО)</w:t>
      </w:r>
    </w:p>
    <w:p>
      <w:pPr>
        <w:pStyle w:val="BodyText"/>
      </w:pPr>
      <w:r>
        <w:rPr>
          <w:iCs/>
          <w:i/>
        </w:rPr>
        <w:t xml:space="preserve">* НКО АО Лидер</w:t>
      </w:r>
    </w:p>
    <w:p>
      <w:pPr>
        <w:pStyle w:val="BodyText"/>
      </w:pPr>
      <w:r>
        <w:rPr>
          <w:iCs/>
          <w:i/>
        </w:rPr>
        <w:t xml:space="preserve">* КБ «Русский Торговый Банк» (ООО)</w:t>
      </w:r>
    </w:p>
    <w:p>
      <w:pPr>
        <w:pStyle w:val="BodyText"/>
      </w:pPr>
      <w:r>
        <w:rPr>
          <w:iCs/>
          <w:i/>
        </w:rPr>
        <w:t xml:space="preserve">* НКО Красноярский Краевой Расчетный Центр</w:t>
      </w:r>
    </w:p>
    <w:p>
      <w:pPr>
        <w:pStyle w:val="BodyText"/>
      </w:pPr>
      <w:r>
        <w:rPr>
          <w:iCs/>
          <w:i/>
        </w:rPr>
        <w:t xml:space="preserve">* ОАО «Консервативный коммерческий банк»</w:t>
      </w:r>
    </w:p>
    <w:p>
      <w:pPr>
        <w:pStyle w:val="BodyText"/>
      </w:pPr>
      <w:r>
        <w:rPr>
          <w:iCs/>
          <w:i/>
        </w:rPr>
        <w:t xml:space="preserve">* ООО КБ «Платина»</w:t>
      </w:r>
    </w:p>
    <w:p>
      <w:pPr>
        <w:pStyle w:val="BodyText"/>
      </w:pPr>
      <w:r>
        <w:rPr>
          <w:iCs/>
          <w:i/>
        </w:rPr>
        <w:t xml:space="preserve">* АО «Банк Воронеж»</w:t>
      </w:r>
    </w:p>
    <w:p>
      <w:pPr>
        <w:pStyle w:val="BodyText"/>
      </w:pPr>
      <w:r>
        <w:rPr>
          <w:iCs/>
          <w:i/>
        </w:rPr>
        <w:t xml:space="preserve">* НКО «Монета.ру»</w:t>
      </w:r>
    </w:p>
    <w:p>
      <w:pPr>
        <w:pStyle w:val="BodyText"/>
      </w:pPr>
      <w:r>
        <w:rPr>
          <w:iCs/>
          <w:i/>
        </w:rPr>
        <w:t xml:space="preserve">* АКБ «Интеркоопбанк» (ПАО)</w:t>
      </w:r>
    </w:p>
    <w:p>
      <w:pPr>
        <w:pStyle w:val="BodyText"/>
      </w:pPr>
      <w:r>
        <w:rPr>
          <w:iCs/>
          <w:i/>
        </w:rPr>
        <w:t xml:space="preserve">* «СДМ банк» (ПАО)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http://krylatskoe.mos.ru/presscenter/news/detail/2969760.html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969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969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2025-07-23T23:55:29Z</dcterms:created>
  <dcterms:modified xsi:type="dcterms:W3CDTF">2025-07-23T23:55:29Z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