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-крылатское"/>
    <w:p>
      <w:pPr>
        <w:pStyle w:val="Heading3"/>
      </w:pPr>
      <w:r>
        <w:t xml:space="preserve">Уважаемые жители района Крылатское!</w:t>
      </w:r>
    </w:p>
    <w:p>
      <w:pPr>
        <w:pStyle w:val="FirstParagraph"/>
      </w:pPr>
      <w:r>
        <w:t xml:space="preserve">08.02.2016</w:t>
      </w:r>
    </w:p>
    <w:p>
      <w:pPr>
        <w:pStyle w:val="BodyText"/>
      </w:pPr>
      <w:r>
        <w:rPr>
          <w:iCs/>
          <w:i/>
        </w:rPr>
        <w:t xml:space="preserve">Предприятие бытового обслуживания района Крылатское, осуществляющее льготное обслуживание ветеранов и иных льготных категорий граждан</w:t>
      </w:r>
      <w:r>
        <w:t xml:space="preserve">: ООО "ЛЮКО и Ко" (парикмахерские услуги): Рублевское ш., д.40/3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http://krylatskoe.mos.ru/presscenter/news/detail/2498205.html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498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498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2025-08-06T15:42:43Z</dcterms:created>
  <dcterms:modified xsi:type="dcterms:W3CDTF">2025-08-06T15:42:43Z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