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участников-алкогольного-рынка"/>
    <w:p>
      <w:pPr>
        <w:pStyle w:val="Heading3"/>
      </w:pPr>
      <w:r>
        <w:t xml:space="preserve">Внимание участников алкогольного рынка!</w:t>
      </w:r>
    </w:p>
    <w:p>
      <w:pPr>
        <w:pStyle w:val="FirstParagraph"/>
      </w:pPr>
      <w:r>
        <w:t xml:space="preserve">12.01.2016</w:t>
      </w:r>
    </w:p>
    <w:p>
      <w:pPr>
        <w:pStyle w:val="BodyText"/>
      </w:pPr>
      <w:r>
        <w:rPr>
          <w:bCs/>
          <w:b/>
          <w:iCs/>
          <w:i/>
        </w:rPr>
        <w:t xml:space="preserve">С 1 по 20 января 2016 года проводится декларационная кампания за 4 квартал 2015 года.</w:t>
      </w:r>
    </w:p>
    <w:p>
      <w:pPr>
        <w:pStyle w:val="BodyText"/>
      </w:pPr>
      <w:r>
        <w:t xml:space="preserve">Декларации об объеме розничной продажи алкогольной и спиртосодержащей продукции по форме 11, декларации об объеме розничной продажи пива и пивных напитков, сидра, пуаре, медовухи по форме 12 за 4 квартал 2015 года необходимо подать</w:t>
      </w:r>
      <w:r>
        <w:t xml:space="preserve"> </w:t>
      </w:r>
      <w:r>
        <w:rPr>
          <w:bCs/>
          <w:b/>
        </w:rPr>
        <w:t xml:space="preserve">до 20 января 2016 года</w:t>
      </w:r>
      <w:r>
        <w:t xml:space="preserve">.</w:t>
      </w:r>
    </w:p>
    <w:p>
      <w:pPr>
        <w:pStyle w:val="BodyText"/>
      </w:pPr>
      <w:r>
        <w:t xml:space="preserve">Организации, осуществляющие розничную продажу алкогольной и спиртосодержащей непищевой продукции, пива и пивных напитков сидра, пуаре, медовухи и зарегистрированные на территории города Москвы представляют декларации по форме 11 и 12</w:t>
      </w:r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,</w:t>
      </w:r>
      <w:r>
        <w:t xml:space="preserve"> </w:t>
      </w:r>
      <w:r>
        <w:rPr>
          <w:u w:val="single"/>
          <w:bCs/>
          <w:b/>
        </w:rPr>
        <w:t xml:space="preserve">на региональную площадку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Обращаем внимание,</w:t>
      </w:r>
      <w:r>
        <w:t xml:space="preserve"> </w:t>
      </w:r>
      <w:r>
        <w:t xml:space="preserve">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 Для производителей других государств — членов Таможенного союза, указывается регистрационные (идентификационные, учетные) номера налогоплательщиков.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продукции, в декларациях указываются нулевые показатели.</w:t>
      </w:r>
    </w:p>
    <w:p>
      <w:pPr>
        <w:pStyle w:val="BodyText"/>
      </w:pPr>
      <w:r>
        <w:t xml:space="preserve">В связи с отсутствием автоматической возможности гарантированно определять место регистрации, организациям и индивидуальным предпринимателям предоставлена возможность самостоятельно определять регион принадлежности,</w:t>
      </w:r>
      <w:r>
        <w:t xml:space="preserve"> </w:t>
      </w: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За нарушение требований законодательства в части непредставления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http://krylatskoe.mos.ru/presscenter/news/detail/2426721.html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426721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426721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2024-10-15T08:45:17Z</dcterms:created>
  <dcterms:modified xsi:type="dcterms:W3CDTF">2024-10-15T08:45:17Z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