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теринский-капитал.-вопросы-и-ответы"/>
    <w:p>
      <w:pPr>
        <w:pStyle w:val="Heading3"/>
      </w:pPr>
      <w:r>
        <w:t xml:space="preserve">Материнский капитал. Вопросы и ответы</w:t>
      </w:r>
    </w:p>
    <w:p>
      <w:pPr>
        <w:pStyle w:val="FirstParagraph"/>
      </w:pPr>
      <w:r>
        <w:t xml:space="preserve">03.06.2014</w:t>
      </w:r>
    </w:p>
    <w:p>
      <w:pPr>
        <w:pStyle w:val="BodyText"/>
      </w:pPr>
      <w:r>
        <w:rPr>
          <w:bCs/>
          <w:b/>
        </w:rPr>
        <w:t xml:space="preserve">Управление №2 ГУ-Главного управления ПФР №2 по Москве и МО дает ответы на часто задаваемые вопросы по МСК.</w:t>
      </w:r>
    </w:p>
    <w:p>
      <w:pPr>
        <w:pStyle w:val="BodyText"/>
      </w:pPr>
      <w:r>
        <w:t xml:space="preserve"> </w:t>
      </w:r>
      <w:r>
        <w:t xml:space="preserve">1. Каким образом можно воспользоваться средствами МСК, если в свидетельство о праве собственности не включены дети?</w:t>
      </w:r>
    </w:p>
    <w:p>
      <w:pPr>
        <w:pStyle w:val="BodyText"/>
      </w:pPr>
      <w:r>
        <w:t xml:space="preserve"> </w:t>
      </w:r>
      <w:r>
        <w:t xml:space="preserve">В соответствии с пп. д) п. 13 Правил направления средств МСК необходимо предоставить в территориальный орган Пенсионного фонда Российской Федерации письменное обязательство об оформлении жилого помещения в собственность детей после снятия обременения с жилого помещения.</w:t>
      </w:r>
    </w:p>
    <w:p>
      <w:pPr>
        <w:pStyle w:val="BodyText"/>
      </w:pPr>
      <w:r>
        <w:t xml:space="preserve"> </w:t>
      </w:r>
      <w:r>
        <w:t xml:space="preserve">2. Каким образом нотариально оформлять письменное обязательство об оформлении жилого помещения в собственность родителей, детей: как сделку или как удостоверение подписи?</w:t>
      </w:r>
    </w:p>
    <w:p>
      <w:pPr>
        <w:pStyle w:val="BodyText"/>
      </w:pPr>
      <w:r>
        <w:t xml:space="preserve"> </w:t>
      </w:r>
      <w:r>
        <w:t xml:space="preserve">Письменное обязательство составляется в простой письменной форме, с заверением подписи нотариусом.</w:t>
      </w:r>
    </w:p>
    <w:p>
      <w:pPr>
        <w:pStyle w:val="BodyText"/>
      </w:pPr>
      <w:r>
        <w:t xml:space="preserve"> </w:t>
      </w:r>
      <w:r>
        <w:t xml:space="preserve">3. Если в территориальный орган Пенсионного фонда Российской Федерации обращается супруг заемщика-распорядителя МСК, какие документы он должен предоставить?</w:t>
      </w:r>
    </w:p>
    <w:p>
      <w:pPr>
        <w:pStyle w:val="BodyText"/>
      </w:pPr>
      <w:r>
        <w:t xml:space="preserve"> </w:t>
      </w:r>
      <w:r>
        <w:t xml:space="preserve">Предоставляются нотариально заверенная доверенность на право оформления заявления на распоряжение средствами МСК, оригинал сертификата, паспорт супруга, свидетельство о заключении брака, письменное согласие супруги о распоряжении средствами МСК.</w:t>
      </w:r>
    </w:p>
    <w:p>
      <w:pPr>
        <w:pStyle w:val="BodyText"/>
      </w:pPr>
      <w:r>
        <w:t xml:space="preserve"> </w:t>
      </w:r>
      <w:r>
        <w:t xml:space="preserve">4. Распространяется ли мораторий в 6 месяцев на досрочное погашение кредита, находящегося на балансе АИЖК, средствами МСК?</w:t>
      </w:r>
    </w:p>
    <w:p>
      <w:pPr>
        <w:pStyle w:val="BodyText"/>
      </w:pPr>
      <w:r>
        <w:t xml:space="preserve"> </w:t>
      </w:r>
      <w:r>
        <w:t xml:space="preserve">Средства МСК могут быть направлены на досрочное погашение ипотечного кредита, не зависимо от срока действия моратория на досрочное погашение без уплаты штрафов и комиссии.</w:t>
      </w:r>
    </w:p>
    <w:p>
      <w:pPr>
        <w:pStyle w:val="BodyText"/>
      </w:pPr>
      <w:r>
        <w:t xml:space="preserve"> </w:t>
      </w:r>
      <w:r>
        <w:t xml:space="preserve">5. В случае если Заемщиком утерян оригинал Кредитного договора, каким образом заверяется его копия?</w:t>
      </w:r>
    </w:p>
    <w:p>
      <w:pPr>
        <w:pStyle w:val="BodyText"/>
      </w:pPr>
      <w:r>
        <w:t xml:space="preserve"> </w:t>
      </w:r>
      <w:r>
        <w:t xml:space="preserve">Копия кредитного договора заверяется подписью уполномоченного лица и печатью Банка.</w:t>
      </w:r>
    </w:p>
    <w:p>
      <w:pPr>
        <w:pStyle w:val="BodyText"/>
      </w:pPr>
      <w:r>
        <w:t xml:space="preserve"> </w:t>
      </w:r>
      <w:r>
        <w:t xml:space="preserve">6. Заявителю было отказано в территориальном органе Пенсионного фонда Российской Федерации в приеме документов, со ссылкой на неверное указание задолженности по процентам. Сотрудник ПФР попросил указать общую сумму процентов, оставшихся к выплате до окончания срока кредитования.</w:t>
      </w:r>
    </w:p>
    <w:p>
      <w:pPr>
        <w:pStyle w:val="BodyText"/>
      </w:pPr>
      <w:r>
        <w:t xml:space="preserve"> </w:t>
      </w:r>
      <w:r>
        <w:t xml:space="preserve">Отказ не имеет законных оснований. Будущие процентные поступления не являются задолженностью по процентам.</w:t>
      </w:r>
    </w:p>
    <w:p>
      <w:pPr>
        <w:pStyle w:val="BodyText"/>
      </w:pPr>
      <w:r>
        <w:t xml:space="preserve"> </w:t>
      </w:r>
      <w:r>
        <w:t xml:space="preserve">7. Возможно ли направление средств МСК на погашение просроченной задолженности по выплате основного долга и просрочки по уплате процентов?</w:t>
      </w:r>
    </w:p>
    <w:p>
      <w:pPr>
        <w:pStyle w:val="BodyText"/>
      </w:pPr>
      <w:r>
        <w:t xml:space="preserve"> </w:t>
      </w:r>
      <w:r>
        <w:t xml:space="preserve">Да, возможно. В соответствии с пп. б) п. 3 Правил направления средств МСК средства МСК могут быть направлены на погашение основного долга и уплату процентов, в том числе, если эта задолженность просроченная.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http://krylatskoe.mos.ru/presscenter/news/detail/1092010.html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92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92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2025-07-21T16:15:34Z</dcterms:created>
  <dcterms:modified xsi:type="dcterms:W3CDTF">2025-07-21T16:15:34Z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