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5817211bfe7dd7bc31fa375f369420816624b"/>
    <w:p>
      <w:pPr>
        <w:pStyle w:val="Heading3"/>
      </w:pPr>
      <w:r>
        <w:t xml:space="preserve">ГУ - Главное Управление ПФР № 2 по г. Москве и Московской области в рамках разъяснительной работы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drawing>
          <wp:inline>
            <wp:extent cx="1905000" cy="1285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_local/resize_cache/8035261/eaa4c0853c55214af75dd8794a52c802/iblock/f20/f20a837bc5b9f436675573de5a23beba/1bjf_gfor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ГУ - Главное Управление ПФР № 2 по г. Москве и Московской области в рамках разъяснительной работы, в связи с подготовкой к передаче Пенсионному фонду РФ полномочий по осуществлению отдельных мер социальной поддержки - </w:t>
      </w:r>
      <w:hyperlink r:id="rId23">
        <w:r>
          <w:rPr>
            <w:rStyle w:val="Hyperlink"/>
          </w:rPr>
          <w:t xml:space="preserve">листовки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http://krylatskoe.mos.ru/presscenter/news/detail/10481440.html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AiF/2021/&#1051;&#1080;&#1089;&#1090;&#1086;&#1074;&#1082;&#1080;%20&#1086;%20&#1084;&#1077;&#1088;&#1072;&#1093;%20&#1089;&#1086;&#1094;.&#1087;&#1086;&#1076;&#1076;&#1077;&#1088;&#1078;&#1082;&#1080;_&#1050;&#1057;%20&#1055;&#1060;&#1056;.pdf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10481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iF/2021/&#1051;&#1080;&#1089;&#1090;&#1086;&#1074;&#1082;&#1080;%20&#1086;%20&#1084;&#1077;&#1088;&#1072;&#1093;%20&#1089;&#1086;&#1094;.&#1087;&#1086;&#1076;&#1076;&#1077;&#1088;&#1078;&#1082;&#1080;_&#1050;&#1057;%20&#1055;&#1060;&#1056;.pdf" TargetMode="External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10481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2025-08-05T16:00:10Z</dcterms:created>
  <dcterms:modified xsi:type="dcterms:W3CDTF">2025-08-05T16:00:10Z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