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207747eda4e2b2cf7c67b3e0e846b5a07dc98"/>
    <w:p>
      <w:pPr>
        <w:pStyle w:val="Heading3"/>
      </w:pPr>
      <w:r>
        <w:t xml:space="preserve">Помогать людям легко: «Активные граждане» обменивают баллы на товары социально ориентированных НКО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В Москве участники проекта «Активный гражданин» заказали все 590 товаров, которые создали подопечные социально ориентированных некоммерческих организаций. Первую партию раскупили в полном объеме за три недели.</w:t>
      </w:r>
    </w:p>
    <w:p>
      <w:pPr>
        <w:pStyle w:val="BodyText"/>
      </w:pPr>
      <w:r>
        <w:t xml:space="preserve">Товары были представлены в каталоге поощрений в рамках партнерства с социальным маркетплейсом «Москва — добрый город». Сейчас с агрегатором онлайн-магазинов НКО сотрудничают более 20 организаций. Первым стал «Центр адаптации и развития «Изумрудный город». С помощью организации подростки и взрослые с ментальными особенностями здоровья проходят социально-трудовую реабилитацию. Подопечные создают блокноты, свечи, альбомы для рисования, ароматные саше, конверты из бумаги.</w:t>
      </w:r>
    </w:p>
    <w:p>
      <w:pPr>
        <w:pStyle w:val="BodyText"/>
      </w:pPr>
      <w:r>
        <w:t xml:space="preserve">Также в каталоге есть товары, которые производят подопечные НКО «Единение», «Жизненный путь», «Равные возможности», «Семейный очаг» и других. Пользователи оказывают активную поддержку. Об этом рассказал руководитель ГКУ «Новые технологии управления» Александр Пищелко.</w:t>
      </w:r>
    </w:p>
    <w:p>
      <w:pPr>
        <w:pStyle w:val="BodyText"/>
      </w:pPr>
      <w:r>
        <w:t xml:space="preserve">«Показательно, что наши пользователи активно поддерживают благотворительные фонды и обменивают баллы на товары социально ориентированных НКО. Такая заинтересованность доказывает, что горожане готовы помогать, а мы, в свою очередь, будем стараться и дальше развивать направление благотворительности в магазине поощрений», — отметил он.</w:t>
      </w:r>
    </w:p>
    <w:p>
      <w:pPr>
        <w:pStyle w:val="BodyText"/>
      </w:pPr>
      <w:r>
        <w:t xml:space="preserve">Категория «Благотворительность» появилась еще в 2020 году.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http://krylatskoe.mos.ru/presscenter/news/detail/10337757.html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37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337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2023-07-26T08:51:22Z</dcterms:created>
  <dcterms:modified xsi:type="dcterms:W3CDTF">2023-07-26T08:51:22Z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