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95e0fc040546d00e79a6982c5208eb69aa04"/>
    <w:p>
      <w:pPr>
        <w:pStyle w:val="Heading3"/>
      </w:pPr>
      <w:r>
        <w:t xml:space="preserve">Контроль за средствами обеспечения пожарной безопасности обсуждают представители надзорных органов государств-членов ЕАЭС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Представители МЧС России в Республике Беларусь участвуют в III заседании Рабочей группы по вопросам государственного контроля (надзора) за соблюдением требований технического регламента Евразийского экономического союза «О требованиях к средствам обеспечения пожарной безопасности и пожаротушения» (ТР ЕАЭС 043/2017).</w:t>
      </w:r>
    </w:p>
    <w:p>
      <w:pPr>
        <w:pStyle w:val="BodyText"/>
      </w:pPr>
      <w:r>
        <w:t xml:space="preserve">В Минске российские специалисты совместно с коллегами из спасательных ведомств Республик Беларусь и Казахстан обсуждают проблемные вопросы государственного контроля, в частности, производство по делам об административных правонарушениях, а также подводят итоги работы органов государственного пожарного надзора за 2023 год.</w:t>
      </w:r>
    </w:p>
    <w:p>
      <w:pPr>
        <w:pStyle w:val="BodyText"/>
      </w:pPr>
      <w:r>
        <w:t xml:space="preserve">За три дня предстоит обсудить процессы оптимизации и цифровизации механизмов взаимодействия органов государственного контроля (надзора) государств-членов Евразийского экономического союза при выявлении средств обеспечения пожарной безопасности и пожаротушения, несоответствующих требованиям технического регламента.</w:t>
      </w:r>
    </w:p>
    <w:p>
      <w:pPr>
        <w:pStyle w:val="BodyText"/>
      </w:pPr>
      <w:r>
        <w:t xml:space="preserve">Вместе с тем прорабатываются вопросы совершенствования государственного контроля (надзора) за соблюдением требований технического регламента, а также обсуждается проект изменений в документ.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http://krylatskoe.mos.ru/presscenter/news-on-main/detail/12451321.html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51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51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2025-08-06T10:42:04Z</dcterms:created>
  <dcterms:modified xsi:type="dcterms:W3CDTF">2025-08-06T10:42:04Z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