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были рассмотрены результаты деятельности органов государственной власти и местного самоуправления по реализации требований к антитеррористической защищенности объектов, мест массового пребывания людей и меры по ее совершенствованию.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представители ряда антитеррористических комиссий в субъектах Российской Федерации, федеральных органов исполнительной власти, правоохранительных органов и специальных служб.</w:t>
      </w:r>
    </w:p>
    <w:p>
      <w:pPr>
        <w:pStyle w:val="BodyText"/>
      </w:pPr>
      <w:r>
        <w:t xml:space="preserve">В результате обсуждения определены приоритетные задачи по усилению антитеррористической защищенности мест массового пребывания людей, объектов органов власти, здравоохранения, культуры, спорта и религиозного культа, а также по повышению уровня взаимодействия органов государственной власти в данной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http://krylatskoe.mos.ru/counter-terrorism/news/detail/7909421.html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09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7909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2023-07-28T11:05:36Z</dcterms:created>
  <dcterms:modified xsi:type="dcterms:W3CDTF">2023-07-28T11:05:36Z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