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e94c10e981350ebc81f1a6421c5ef35f96adb"/>
    <w:p>
      <w:pPr>
        <w:pStyle w:val="Heading3"/>
      </w:pPr>
      <w:r>
        <w:t xml:space="preserve">Порядок уведомления представителя нанимателя о фактах обращения в целях склонения государственного гражданского служащего управы района Крылатское к совершению коррупционных правонарушений</w:t>
      </w:r>
    </w:p>
    <w:p>
      <w:pPr>
        <w:pStyle w:val="FirstParagraph"/>
      </w:pPr>
      <w:r>
        <w:t xml:space="preserve">04.02.2020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http://krylatskoe.mos.ru/anti-corruption/the-commission-for-observance-of-requirements-for-the-official-behaviour-of-state-civil-employees-of/detail/8668540.html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the-commission-for-observance-of-requirements-for-the-official-behaviour-of-state-civil-employees-of/detail/8668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the-commission-for-observance-of-requirements-for-the-official-behaviour-of-state-civil-employees-of/detail/8668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2025-03-11T22:42:06Z</dcterms:created>
  <dcterms:modified xsi:type="dcterms:W3CDTF">2025-03-11T22:42:06Z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