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ea1bd1b4896f8ce0a5f05a503a8ee4e99fd1e"/>
    <w:p>
      <w:pPr>
        <w:pStyle w:val="Heading3"/>
      </w:pPr>
      <w:r>
        <w:t xml:space="preserve">Состав комиссии по соблюдению требований к служебному поведению государственных гражданских служащих, замещающих должности государственной гражданской службы и урегулированию конфликта интересов</w:t>
      </w:r>
    </w:p>
    <w:p>
      <w:pPr>
        <w:pStyle w:val="FirstParagraph"/>
      </w:pPr>
      <w:r>
        <w:t xml:space="preserve">28.11.2018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http://krylatskoe.mos.ru/anti-corruption/the-commission-for-observance-of-requirements-for-the-official-behaviour-of-state-civil-employees-of/detail/7726642.html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the-commission-for-observance-of-requirements-for-the-official-behaviour-of-state-civil-employees-of/detail/77266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the-commission-for-observance-of-requirements-for-the-official-behaviour-of-state-civil-employees-of/detail/77266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2023-10-17T05:07:20Z</dcterms:created>
  <dcterms:modified xsi:type="dcterms:W3CDTF">2023-10-17T05:07:20Z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