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2d08e8c484d92ef118faa93a12a97aede9193"/>
    <w:p>
      <w:pPr>
        <w:pStyle w:val="Heading3"/>
      </w:pPr>
      <w:r>
        <w:t xml:space="preserve">Состав комиссии по исчислению стажа государственной службы государственных служащих управы района Крылатское города Москвы</w:t>
      </w:r>
    </w:p>
    <w:p>
      <w:pPr>
        <w:pStyle w:val="FirstParagraph"/>
      </w:pPr>
      <w:r>
        <w:t xml:space="preserve">28.11.2018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http://krylatskoe.mos.ru/anti-corruption/the-commission-for-observance-of-requirements-for-the-official-behaviour-of-state-civil-employees-of/detail/7726632.html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the-commission-for-observance-of-requirements-for-the-official-behaviour-of-state-civil-employees-of/detail/7726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the-commission-for-observance-of-requirements-for-the-official-behaviour-of-state-civil-employees-of/detail/7726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2025-06-24T17:52:18Z</dcterms:created>
  <dcterms:modified xsi:type="dcterms:W3CDTF">2025-06-24T17:52:18Z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