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6c37c7cf8b937e8f8c28da8c732b68a328101"/>
    <w:p>
      <w:pPr>
        <w:pStyle w:val="Heading3"/>
      </w:pPr>
      <w:r>
        <w:t xml:space="preserve">Сведения о состоявшихся заседаниях Комиссии</w:t>
      </w:r>
    </w:p>
    <w:p>
      <w:pPr>
        <w:pStyle w:val="FirstParagraph"/>
      </w:pPr>
      <w:r>
        <w:t xml:space="preserve">31.07.2024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Принятое решение</w:t>
            </w:r>
          </w:p>
        </w:tc>
      </w:tr>
      <w:tr>
        <w:tc>
          <w:tcPr/>
          <w:p>
            <w:pPr>
              <w:jc w:val="left"/>
            </w:pPr>
            <w:r>
              <w:t xml:space="preserve">31.07.2024</w:t>
            </w:r>
          </w:p>
        </w:tc>
        <w:tc>
          <w:tcPr/>
          <w:p>
            <w:pPr>
              <w:jc w:val="left"/>
            </w:pPr>
            <w:r>
              <w:t xml:space="preserve">Представление главой управы материалов проверки, проведенной в соответствии с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указом Мэра Москвы от 15 февраля 2010 года № 11-УМ</w:t>
              </w:r>
            </w:hyperlink>
          </w:p>
        </w:tc>
        <w:tc>
          <w:tcPr/>
          <w:p>
            <w:pPr>
              <w:jc w:val="left"/>
            </w:pPr>
            <w:r>
              <w:t xml:space="preserve">1. Признать, что сведения о доходах, расходах, об имуществе и обязательствах имущественного характера, представленные 1 государственным гражданским служащим являются недостоверными и неполными. В связи с существенностью допущенного проступка рекомендовать главе управы привлечь 1 государственного гражданского служащего к дисциплинарной ответственности (выговор)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http://krylatskoe.mos.ru/anti-corruption/the-commission-for-observance-of-requirements-for-the-official-behaviour-of-state-civil-employees-of/detail/12500480.html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nti-corruption/the-commission-for-observance-of-requirements-for-the-official-behaviour-of-state-civil-employees-of/detail/12500480.html" TargetMode="External" /><Relationship Type="http://schemas.openxmlformats.org/officeDocument/2006/relationships/hyperlink" Id="rId20" Target="https://docs.cntd.ru/document/3717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anti-corruption/the-commission-for-observance-of-requirements-for-the-official-behaviour-of-state-civil-employees-of/detail/12500480.html" TargetMode="External" /><Relationship Type="http://schemas.openxmlformats.org/officeDocument/2006/relationships/hyperlink" Id="rId20" Target="https://docs.cntd.ru/document/3717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2024-10-11T12:27:26Z</dcterms:created>
  <dcterms:modified xsi:type="dcterms:W3CDTF">2024-10-11T12:27:26Z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