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86c37c7cf8b937e8f8c28da8c732b68a328101"/>
    <w:p>
      <w:pPr>
        <w:pStyle w:val="Heading3"/>
      </w:pPr>
      <w:r>
        <w:t xml:space="preserve">Сведения о состоявшихся заседаниях Комиссии</w:t>
      </w:r>
    </w:p>
    <w:p>
      <w:pPr>
        <w:pStyle w:val="FirstParagraph"/>
      </w:pPr>
      <w:r>
        <w:t xml:space="preserve">14.11.2022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Основание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Принятое решение</w:t>
            </w:r>
          </w:p>
        </w:tc>
      </w:tr>
      <w:tr>
        <w:tc>
          <w:tcPr/>
          <w:p>
            <w:pPr>
              <w:jc w:val="left"/>
            </w:pPr>
            <w:r>
              <w:t xml:space="preserve">20.09.2022</w:t>
            </w:r>
          </w:p>
        </w:tc>
        <w:tc>
          <w:tcPr/>
          <w:p>
            <w:pPr>
              <w:jc w:val="left"/>
            </w:pPr>
            <w:r>
              <w:t xml:space="preserve">Представление главой управы материалов проверки, проведенной в соответствии с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указом Мэра Москвы от 15 февраля 2010 года № 11-УМ</w:t>
              </w:r>
            </w:hyperlink>
          </w:p>
        </w:tc>
        <w:tc>
          <w:tcPr/>
          <w:p>
            <w:pPr>
              <w:jc w:val="left"/>
            </w:pPr>
            <w:r>
              <w:t xml:space="preserve">Признать, что сведения о доходах, расходах, об имуществе и обязательствах имущественного характера, представленные 1 государственным гражданским служащим управы являются недостоверными и неполными. В связи с малозначительностью допущенного проступка к дисциплинарной ответственности государственного гражданского служащего не привлекать, при этом указав на необходимость строгого соблюдения требований действующего законодательства о противодействии коррупции.</w:t>
            </w:r>
          </w:p>
          <w:p>
            <w:pPr>
              <w:jc w:val="left"/>
            </w:pPr>
            <w:r>
              <w:t xml:space="preserve">Признать, что сведения о доходах, расходах, об имуществе и обязательствах имущественного характера, представленные 5 государственными гражданскими служащими управы являются достоверными и полными.</w:t>
            </w:r>
          </w:p>
        </w:tc>
      </w:tr>
      <w:tr>
        <w:tc>
          <w:tcPr/>
          <w:p>
            <w:pPr>
              <w:jc w:val="left"/>
            </w:pPr>
            <w:r>
              <w:t xml:space="preserve">20.09.2022</w:t>
            </w:r>
          </w:p>
        </w:tc>
        <w:tc>
          <w:tcPr/>
          <w:p>
            <w:pPr>
              <w:jc w:val="left"/>
            </w:pPr>
            <w:r>
              <w:t xml:space="preserve">Материалы контроля за расходами, проведенного в соответствии с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указом Мэра Москвы от 21 марта 2013 года № 22-УМ</w:t>
              </w:r>
            </w:hyperlink>
          </w:p>
        </w:tc>
        <w:tc>
          <w:tcPr/>
          <w:p>
            <w:pPr>
              <w:jc w:val="left"/>
            </w:pPr>
            <w:r>
              <w:t xml:space="preserve">Признать представленные сведения о расходах 1 государственного гражданского служащего достоверными и полными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http://krylatskoe.mos.ru/anti-corruption/the-commission-for-observance-of-requirements-for-the-official-behaviour-of-state-civil-employees-of/detail/11223551.html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anti-corruption/the-commission-for-observance-of-requirements-for-the-official-behaviour-of-state-civil-employees-of/detail/11223551.html" TargetMode="External" /><Relationship Type="http://schemas.openxmlformats.org/officeDocument/2006/relationships/hyperlink" Id="rId20" Target="https://docs.cntd.ru/document/371705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anti-corruption/the-commission-for-observance-of-requirements-for-the-official-behaviour-of-state-civil-employees-of/detail/11223551.html" TargetMode="External" /><Relationship Type="http://schemas.openxmlformats.org/officeDocument/2006/relationships/hyperlink" Id="rId20" Target="https://docs.cntd.ru/document/371705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2025-06-01T17:59:28Z</dcterms:created>
  <dcterms:modified xsi:type="dcterms:W3CDTF">2025-06-01T17:59:28Z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