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9e3f33262a66885ba44fcc4a582985ef598bc"/>
    <w:p>
      <w:pPr>
        <w:pStyle w:val="Heading3"/>
      </w:pPr>
      <w:r>
        <w:t xml:space="preserve">Приказ от 11 апреля 2019 года №17/1-к "Об утверждении положения о Порядке уведомления государственными гражданскими служащими в управе района Крылатское города Москвы о намерении выполнять иную оплачиваемую работу (о выполнении иной оплачиваемой работы)"</w:t>
      </w:r>
    </w:p>
    <w:p>
      <w:pPr>
        <w:pStyle w:val="FirstParagraph"/>
      </w:pPr>
      <w:r>
        <w:t xml:space="preserve">12.04.2022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http://krylatskoe.mos.ru/anti-corruption/the-commission-for-observance-of-requirements-for-the-official-behaviour-of-state-civil-employees-of/detail/10745491.html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10745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10745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2024-04-09T13:38:50Z</dcterms:created>
  <dcterms:modified xsi:type="dcterms:W3CDTF">2024-04-09T13:38:50Z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