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1c586ed20edd634c402077ab90e9cbcb2a203"/>
    <w:p>
      <w:pPr>
        <w:pStyle w:val="Heading3"/>
      </w:pPr>
      <w:r>
        <w:t xml:space="preserve">Распоряжение от 23 мая 2025 г. № 31/1-р "Об утверждении плана мероприятий по противодействию коррупции в управе района Крылатское города Москвы на 2025 год"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http://krylatskoe.mos.ru/anti-corruption/plans-papers-reports-reviews-static-information-on-combating-corruption/detail/13029700.html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plans-papers-reports-reviews-static-information-on-combating-corruption/detail/13029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plans-papers-reports-reviews-static-information-on-combating-corruption/detail/13029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2025-07-01T11:00:53Z</dcterms:created>
  <dcterms:modified xsi:type="dcterms:W3CDTF">2025-07-01T11:00:53Z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