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ba5f5f9fd9a8fc61aa620bb4f6caa47e6c4bb"/>
    <w:p>
      <w:pPr>
        <w:pStyle w:val="Heading3"/>
      </w:pPr>
      <w:r>
        <w:t xml:space="preserve">Методические рекомендациипо представлению государственным гражданским служащим города Москвы (лицом, замещающим государственную должность города Москвы) сведений о доходах, об имуществе и обязательствах имущественного характера</w:t>
      </w:r>
    </w:p>
    <w:p>
      <w:pPr>
        <w:pStyle w:val="FirstParagraph"/>
      </w:pPr>
      <w:r>
        <w:t xml:space="preserve">15.08.2014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http://krylatskoe.mos.ru/anti-corruption/methodical-materials/detail/1209929.html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methodical-materials/detail/1209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methodical-materials/detail/1209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2023-07-26T06:01:13Z</dcterms:created>
  <dcterms:modified xsi:type="dcterms:W3CDTF">2023-07-26T06:01:13Z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