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f2ce34ad97a458ab8e60254fb69268373b28e70"/>
    <w:p>
      <w:pPr>
        <w:pStyle w:val="Heading3"/>
      </w:pPr>
      <w:r>
        <w:t xml:space="preserve">Памятка поведения государственный гражданский служащих по урегулированию ситуаций, связанных с конфликтом интересов на государственной гражданской службе города Москвы</w:t>
      </w:r>
    </w:p>
    <w:p>
      <w:pPr>
        <w:pStyle w:val="FirstParagraph"/>
      </w:pPr>
      <w:r>
        <w:t xml:space="preserve">15.08.2014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http://krylatskoe.mos.ru/anti-corruption/methodical-materials/detail/1209924.html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Крылатское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krylatskoe.mos.ru" TargetMode="External" /><Relationship Type="http://schemas.openxmlformats.org/officeDocument/2006/relationships/hyperlink" Id="rId20" Target="http://krylatskoe.mos.ru/anti-corruption/methodical-materials/detail/120992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krylatskoe.mos.ru" TargetMode="External" /><Relationship Type="http://schemas.openxmlformats.org/officeDocument/2006/relationships/hyperlink" Id="rId20" Target="http://krylatskoe.mos.ru/anti-corruption/methodical-materials/detail/120992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2024-08-15T21:43:35Z</dcterms:created>
  <dcterms:modified xsi:type="dcterms:W3CDTF">2024-08-15T21:43:35Z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