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2c6ddb9eab4fdfb2e7127b114c067138a98d1"/>
    <w:p>
      <w:pPr>
        <w:pStyle w:val="Heading3"/>
      </w:pPr>
      <w:r>
        <w:t xml:space="preserve">Разъяснения практики применения статьи 12 Федерального закона от 25 декабря 2008 г. № 273-ФЗ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http://krylatskoe.mos.ru/anti-corruption/methodical-materials/detail/1209919.html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methodical-materials/detail/1209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methodical-materials/detail/1209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2025-06-20T00:49:02Z</dcterms:created>
  <dcterms:modified xsi:type="dcterms:W3CDTF">2025-06-20T00:49:02Z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