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иказ-от-08-декабря-2022-года-57-к"/>
    <w:p>
      <w:pPr>
        <w:pStyle w:val="Heading3"/>
      </w:pPr>
      <w:r>
        <w:t xml:space="preserve">Приказ от 08 декабря 2022 года №57-к</w:t>
      </w:r>
    </w:p>
    <w:p>
      <w:pPr>
        <w:pStyle w:val="FirstParagraph"/>
      </w:pPr>
      <w:r>
        <w:t xml:space="preserve">27.12.2022</w:t>
      </w:r>
    </w:p>
    <w:p>
      <w:pPr>
        <w:pStyle w:val="BodyText"/>
      </w:pPr>
      <w:r>
        <w:t xml:space="preserve">Об утверждении списка должностей государственной гражданской службы города Москвы в управе района Крылатское города Москвы, при замещении которых государственные гражданские служащие города Москвы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своих, супруги (супруга) и несовершеннолетних детей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http://krylatskoe.mos.ru/anti-corruption/information-on-income-expenses-about-property-and-obligations-of-property-character/detail/11318625.html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anti-corruption/information-on-income-expenses-about-property-and-obligations-of-property-character/detail/113186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anti-corruption/information-on-income-expenses-about-property-and-obligations-of-property-character/detail/113186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2023-08-30T03:58:30Z</dcterms:created>
  <dcterms:modified xsi:type="dcterms:W3CDTF">2023-08-30T03:58:30Z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