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d8c47c2efe85c8725b6d64b361b5669509578"/>
    <w:p>
      <w:pPr>
        <w:pStyle w:val="Heading3"/>
      </w:pPr>
      <w:r>
        <w:t xml:space="preserve">Сведения о доходах, имуществе и обязательствах имущественного характера государственных гражданских служащих управы района Крылатское города Москвы и членов их семей за период с 1 января по 31 декабря 2012 года</w:t>
      </w:r>
    </w:p>
    <w:p>
      <w:pPr>
        <w:pStyle w:val="FirstParagraph"/>
      </w:pPr>
      <w:r>
        <w:t xml:space="preserve">22.06.2014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http://krylatskoe.mos.ru/anti-corruption/information-on-income-expenses-about-property-and-obligations-of-property-character/detail/1088543.html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1088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1088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2024-07-08T17:20:17Z</dcterms:created>
  <dcterms:modified xsi:type="dcterms:W3CDTF">2024-07-08T17:20:17Z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