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d6562c3f0092b7316930538dfb8ae76450184"/>
    <w:p>
      <w:pPr>
        <w:pStyle w:val="Heading3"/>
      </w:pPr>
      <w:r>
        <w:t xml:space="preserve">Справка о доходах, расходах, об имуществе и обязательствах имущественного характера ( утверждена Указом Президента РФ от 23 июня 2014 г. № 460)</w:t>
      </w:r>
    </w:p>
    <w:p>
      <w:pPr>
        <w:pStyle w:val="FirstParagraph"/>
      </w:pPr>
      <w:r>
        <w:t xml:space="preserve">23.01.2015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http://krylatskoe.mos.ru/anti-corruption/forms-of-documents-related-to-anti-corruption-for-filling/detail/1535938.html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forms-of-documents-related-to-anti-corruption-for-filling/detail/15359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forms-of-documents-related-to-anti-corruption-for-filling/detail/15359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2023-07-27T14:22:47Z</dcterms:created>
  <dcterms:modified xsi:type="dcterms:W3CDTF">2023-07-27T14:22:47Z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