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1bae00149462c3c4d4a58e1db14881849d600"/>
    <w:p>
      <w:pPr>
        <w:pStyle w:val="Heading3"/>
      </w:pPr>
      <w:r>
        <w:t xml:space="preserve">Постановление Правительства РФ от 26 февраля 2010 г. N 96</w:t>
      </w:r>
    </w:p>
    <w:p>
      <w:pPr>
        <w:pStyle w:val="FirstParagraph"/>
      </w:pPr>
      <w:r>
        <w:t xml:space="preserve">15.08.2014</w:t>
      </w:r>
    </w:p>
    <w:p>
      <w:pPr>
        <w:pStyle w:val="BodyText"/>
      </w:pPr>
      <w:r>
        <w:t xml:space="preserve">Постановление Правительства РФ от 26 февраля 2010 г. N 96 "Об антикоррупционной экспертизе нормативных правовых актов и проектов нормативных правовых актов"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http://krylatskoe.mos.ru/anti-corruption/anti-corruption-expertise/detail/1209895.html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anti-corruption-expertise/detail/1209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anti-corruption-expertise/detail/1209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2025-07-18T11:23:30Z</dcterms:created>
  <dcterms:modified xsi:type="dcterms:W3CDTF">2025-07-18T11:23:30Z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